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D0BA5" w14:textId="77777777" w:rsidR="006E5F0C" w:rsidRPr="00780196" w:rsidRDefault="00D2464C">
      <w:pPr>
        <w:spacing w:line="360" w:lineRule="auto"/>
        <w:rPr>
          <w:rFonts w:ascii="文泉驿微米黑" w:eastAsia="文泉驿微米黑" w:hAnsi="文泉驿微米黑" w:cs="Helvetica Neue"/>
          <w:sz w:val="28"/>
          <w:szCs w:val="28"/>
          <w:u w:val="single"/>
        </w:rPr>
      </w:pPr>
      <w:r w:rsidRPr="00780196">
        <w:rPr>
          <w:rFonts w:ascii="文泉驿微米黑" w:eastAsia="文泉驿微米黑" w:hAnsi="文泉驿微米黑" w:cs="Helvetica Neue"/>
          <w:noProof/>
          <w:sz w:val="28"/>
          <w:szCs w:val="28"/>
          <w:u w:val="single"/>
        </w:rPr>
        <w:drawing>
          <wp:anchor distT="114300" distB="114300" distL="114300" distR="114300" simplePos="0" relativeHeight="251658240" behindDoc="0" locked="0" layoutInCell="1" hidden="0" allowOverlap="1" wp14:anchorId="6EE63A5C" wp14:editId="1159D628">
            <wp:simplePos x="0" y="0"/>
            <wp:positionH relativeFrom="page">
              <wp:posOffset>9525</wp:posOffset>
            </wp:positionH>
            <wp:positionV relativeFrom="page">
              <wp:posOffset>-516377</wp:posOffset>
            </wp:positionV>
            <wp:extent cx="7941916" cy="11227241"/>
            <wp:effectExtent l="0" t="0" r="0" b="0"/>
            <wp:wrapNone/>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7"/>
                    <a:srcRect/>
                    <a:stretch>
                      <a:fillRect/>
                    </a:stretch>
                  </pic:blipFill>
                  <pic:spPr>
                    <a:xfrm>
                      <a:off x="0" y="0"/>
                      <a:ext cx="7941916" cy="11227241"/>
                    </a:xfrm>
                    <a:prstGeom prst="rect">
                      <a:avLst/>
                    </a:prstGeom>
                    <a:ln/>
                  </pic:spPr>
                </pic:pic>
              </a:graphicData>
            </a:graphic>
          </wp:anchor>
        </w:drawing>
      </w:r>
    </w:p>
    <w:p w14:paraId="26047260" w14:textId="77777777" w:rsidR="006E5F0C" w:rsidRPr="00780196" w:rsidRDefault="006E5F0C">
      <w:pPr>
        <w:spacing w:line="360" w:lineRule="auto"/>
        <w:rPr>
          <w:rFonts w:ascii="文泉驿微米黑" w:eastAsia="文泉驿微米黑" w:hAnsi="文泉驿微米黑" w:cs="Helvetica Neue"/>
          <w:sz w:val="28"/>
          <w:szCs w:val="28"/>
          <w:u w:val="single"/>
        </w:rPr>
      </w:pPr>
    </w:p>
    <w:p w14:paraId="13A48545" w14:textId="77777777" w:rsidR="006E5F0C" w:rsidRPr="00780196" w:rsidRDefault="006E5F0C">
      <w:pPr>
        <w:pStyle w:val="a3"/>
        <w:spacing w:line="360" w:lineRule="auto"/>
        <w:rPr>
          <w:rFonts w:ascii="文泉驿微米黑" w:eastAsia="文泉驿微米黑" w:hAnsi="文泉驿微米黑" w:cs="Helvetica Neue"/>
        </w:rPr>
      </w:pPr>
      <w:bookmarkStart w:id="0" w:name="_k6244wyqv0dj" w:colFirst="0" w:colLast="0"/>
      <w:bookmarkEnd w:id="0"/>
    </w:p>
    <w:p w14:paraId="299971DF" w14:textId="77777777" w:rsidR="006E5F0C" w:rsidRPr="00780196" w:rsidRDefault="006E5F0C">
      <w:pPr>
        <w:spacing w:line="360" w:lineRule="auto"/>
        <w:rPr>
          <w:rFonts w:ascii="文泉驿微米黑" w:eastAsia="文泉驿微米黑" w:hAnsi="文泉驿微米黑" w:cs="Helvetica Neue"/>
        </w:rPr>
      </w:pPr>
    </w:p>
    <w:p w14:paraId="7EB24EA0" w14:textId="77777777" w:rsidR="006E5F0C" w:rsidRPr="00780196" w:rsidRDefault="006E5F0C">
      <w:pPr>
        <w:spacing w:line="360" w:lineRule="auto"/>
        <w:rPr>
          <w:rFonts w:ascii="文泉驿微米黑" w:eastAsia="文泉驿微米黑" w:hAnsi="文泉驿微米黑" w:cs="Helvetica Neue"/>
        </w:rPr>
      </w:pPr>
    </w:p>
    <w:p w14:paraId="197F4F6E" w14:textId="77777777" w:rsidR="006E5F0C" w:rsidRPr="00780196" w:rsidRDefault="006E5F0C">
      <w:pPr>
        <w:spacing w:line="360" w:lineRule="auto"/>
        <w:rPr>
          <w:rFonts w:ascii="文泉驿微米黑" w:eastAsia="文泉驿微米黑" w:hAnsi="文泉驿微米黑" w:cs="Helvetica Neue"/>
        </w:rPr>
      </w:pPr>
    </w:p>
    <w:p w14:paraId="4416F9D0" w14:textId="77777777" w:rsidR="006E5F0C" w:rsidRPr="00780196" w:rsidRDefault="00D2464C">
      <w:pPr>
        <w:spacing w:line="360" w:lineRule="auto"/>
        <w:jc w:val="center"/>
        <w:rPr>
          <w:rFonts w:ascii="文泉驿微米黑" w:eastAsia="文泉驿微米黑" w:hAnsi="文泉驿微米黑" w:cs="Helvetica Neue"/>
          <w:sz w:val="52"/>
          <w:szCs w:val="52"/>
        </w:rPr>
      </w:pPr>
      <w:r w:rsidRPr="00780196">
        <w:rPr>
          <w:rFonts w:ascii="文泉驿微米黑" w:eastAsia="文泉驿微米黑" w:hAnsi="文泉驿微米黑" w:cs="Helvetica Neue"/>
          <w:sz w:val="52"/>
          <w:szCs w:val="52"/>
        </w:rPr>
        <w:t>PingCAP</w:t>
      </w:r>
    </w:p>
    <w:p w14:paraId="407A8C03" w14:textId="77777777" w:rsidR="006E5F0C" w:rsidRPr="00780196" w:rsidRDefault="00D2464C">
      <w:pPr>
        <w:spacing w:line="360" w:lineRule="auto"/>
        <w:jc w:val="center"/>
        <w:rPr>
          <w:rFonts w:ascii="文泉驿微米黑" w:eastAsia="文泉驿微米黑" w:hAnsi="文泉驿微米黑" w:cs="Helvetica Neue"/>
        </w:rPr>
      </w:pPr>
      <w:r w:rsidRPr="00780196">
        <w:rPr>
          <w:rFonts w:ascii="文泉驿微米黑" w:eastAsia="文泉驿微米黑" w:hAnsi="文泉驿微米黑" w:cs="Arial Unicode MS"/>
        </w:rPr>
        <w:t>平凯星辰（北京）科技有限公司</w:t>
      </w:r>
    </w:p>
    <w:p w14:paraId="385A14B3" w14:textId="77777777" w:rsidR="006E5F0C" w:rsidRPr="00780196" w:rsidRDefault="00D2464C">
      <w:pPr>
        <w:pStyle w:val="1"/>
        <w:spacing w:line="360" w:lineRule="auto"/>
        <w:rPr>
          <w:rFonts w:ascii="文泉驿微米黑" w:eastAsia="文泉驿微米黑" w:hAnsi="文泉驿微米黑" w:cs="Helvetica Neue"/>
        </w:rPr>
      </w:pPr>
      <w:bookmarkStart w:id="1" w:name="_zdn1prtkm2h7" w:colFirst="0" w:colLast="0"/>
      <w:bookmarkEnd w:id="1"/>
      <w:r w:rsidRPr="00780196">
        <w:rPr>
          <w:rFonts w:ascii="文泉驿微米黑" w:eastAsia="文泉驿微米黑" w:hAnsi="文泉驿微米黑" w:cs="Helvetica Neue"/>
        </w:rPr>
        <w:t xml:space="preserve"> </w:t>
      </w:r>
    </w:p>
    <w:p w14:paraId="72D8E70C" w14:textId="77777777" w:rsidR="006E5F0C" w:rsidRPr="00780196" w:rsidRDefault="006E5F0C">
      <w:pPr>
        <w:pStyle w:val="a3"/>
        <w:spacing w:line="360" w:lineRule="auto"/>
        <w:jc w:val="center"/>
        <w:rPr>
          <w:rFonts w:ascii="文泉驿微米黑" w:eastAsia="文泉驿微米黑" w:hAnsi="文泉驿微米黑" w:cs="Helvetica Neue"/>
        </w:rPr>
      </w:pPr>
      <w:bookmarkStart w:id="2" w:name="_u4i8jalntqel" w:colFirst="0" w:colLast="0"/>
      <w:bookmarkEnd w:id="2"/>
    </w:p>
    <w:p w14:paraId="0624B744" w14:textId="77777777" w:rsidR="006E5F0C" w:rsidRPr="00780196" w:rsidRDefault="00D2464C">
      <w:pPr>
        <w:pStyle w:val="a3"/>
        <w:spacing w:line="360" w:lineRule="auto"/>
        <w:jc w:val="center"/>
        <w:rPr>
          <w:rFonts w:ascii="文泉驿微米黑" w:eastAsia="文泉驿微米黑" w:hAnsi="文泉驿微米黑" w:cs="Helvetica Neue"/>
        </w:rPr>
      </w:pPr>
      <w:bookmarkStart w:id="3" w:name="_7cd44kvz9n24" w:colFirst="0" w:colLast="0"/>
      <w:bookmarkEnd w:id="3"/>
      <w:r w:rsidRPr="00780196">
        <w:rPr>
          <w:rFonts w:ascii="文泉驿微米黑" w:eastAsia="文泉驿微米黑" w:hAnsi="文泉驿微米黑" w:cs="Helvetica Neue"/>
        </w:rPr>
        <w:t xml:space="preserve">TiDB </w:t>
      </w:r>
      <w:r w:rsidRPr="00780196">
        <w:rPr>
          <w:rFonts w:ascii="文泉驿微米黑" w:eastAsia="文泉驿微米黑" w:hAnsi="文泉驿微米黑" w:cs="Arial Unicode MS"/>
        </w:rPr>
        <w:t>产品简介</w:t>
      </w:r>
      <w:r w:rsidRPr="00780196">
        <w:rPr>
          <w:rFonts w:ascii="文泉驿微米黑" w:eastAsia="文泉驿微米黑" w:hAnsi="文泉驿微米黑" w:cs="Arial Unicode MS"/>
        </w:rPr>
        <w:t>（企业版）</w:t>
      </w:r>
    </w:p>
    <w:p w14:paraId="49976194" w14:textId="77777777" w:rsidR="006E5F0C" w:rsidRPr="00780196" w:rsidRDefault="006E5F0C">
      <w:pPr>
        <w:spacing w:line="360" w:lineRule="auto"/>
        <w:jc w:val="center"/>
        <w:rPr>
          <w:rFonts w:ascii="文泉驿微米黑" w:eastAsia="文泉驿微米黑" w:hAnsi="文泉驿微米黑" w:cs="Helvetica Neue"/>
        </w:rPr>
      </w:pPr>
    </w:p>
    <w:p w14:paraId="4F87353E" w14:textId="77777777" w:rsidR="006E5F0C" w:rsidRPr="00780196" w:rsidRDefault="006E5F0C">
      <w:pPr>
        <w:spacing w:line="360" w:lineRule="auto"/>
        <w:jc w:val="center"/>
        <w:rPr>
          <w:rFonts w:ascii="文泉驿微米黑" w:eastAsia="文泉驿微米黑" w:hAnsi="文泉驿微米黑" w:cs="Helvetica Neue"/>
        </w:rPr>
      </w:pPr>
    </w:p>
    <w:p w14:paraId="11127A7F" w14:textId="77777777" w:rsidR="006E5F0C" w:rsidRPr="00780196" w:rsidRDefault="006E5F0C">
      <w:pPr>
        <w:spacing w:line="360" w:lineRule="auto"/>
        <w:jc w:val="center"/>
        <w:rPr>
          <w:rFonts w:ascii="文泉驿微米黑" w:eastAsia="文泉驿微米黑" w:hAnsi="文泉驿微米黑" w:cs="Helvetica Neue"/>
        </w:rPr>
      </w:pPr>
    </w:p>
    <w:p w14:paraId="0CF20DFE" w14:textId="77777777" w:rsidR="006E5F0C" w:rsidRPr="00780196" w:rsidRDefault="006E5F0C">
      <w:pPr>
        <w:spacing w:line="360" w:lineRule="auto"/>
        <w:jc w:val="center"/>
        <w:rPr>
          <w:rFonts w:ascii="文泉驿微米黑" w:eastAsia="文泉驿微米黑" w:hAnsi="文泉驿微米黑" w:cs="Helvetica Neue"/>
        </w:rPr>
      </w:pPr>
    </w:p>
    <w:p w14:paraId="3D0F7110" w14:textId="77777777" w:rsidR="006E5F0C" w:rsidRPr="00780196" w:rsidRDefault="006E5F0C">
      <w:pPr>
        <w:spacing w:line="360" w:lineRule="auto"/>
        <w:jc w:val="center"/>
        <w:rPr>
          <w:rFonts w:ascii="文泉驿微米黑" w:eastAsia="文泉驿微米黑" w:hAnsi="文泉驿微米黑" w:cs="Helvetica Neue"/>
        </w:rPr>
      </w:pPr>
    </w:p>
    <w:p w14:paraId="566EB8AE" w14:textId="77777777" w:rsidR="006E5F0C" w:rsidRPr="00780196" w:rsidRDefault="00D2464C">
      <w:pPr>
        <w:spacing w:line="360" w:lineRule="auto"/>
        <w:ind w:left="2880" w:firstLine="720"/>
        <w:rPr>
          <w:rFonts w:ascii="文泉驿微米黑" w:eastAsia="文泉驿微米黑" w:hAnsi="文泉驿微米黑" w:cs="Helvetica Neue"/>
        </w:rPr>
      </w:pPr>
      <w:r w:rsidRPr="00780196">
        <w:rPr>
          <w:rFonts w:ascii="文泉驿微米黑" w:eastAsia="文泉驿微米黑" w:hAnsi="文泉驿微米黑" w:cs="Arial Unicode MS"/>
        </w:rPr>
        <w:t>产品版本：</w:t>
      </w:r>
      <w:r w:rsidRPr="00780196">
        <w:rPr>
          <w:rFonts w:ascii="文泉驿微米黑" w:eastAsia="文泉驿微米黑" w:hAnsi="文泉驿微米黑" w:cs="Arial Unicode MS"/>
        </w:rPr>
        <w:t>v5.3</w:t>
      </w:r>
    </w:p>
    <w:p w14:paraId="70AFCBB7" w14:textId="77777777" w:rsidR="006E5F0C" w:rsidRPr="00780196" w:rsidRDefault="006E5F0C">
      <w:pPr>
        <w:spacing w:line="360" w:lineRule="auto"/>
        <w:ind w:left="2880" w:firstLine="720"/>
        <w:rPr>
          <w:rFonts w:ascii="文泉驿微米黑" w:eastAsia="文泉驿微米黑" w:hAnsi="文泉驿微米黑" w:cs="Helvetica Neue"/>
        </w:rPr>
      </w:pPr>
    </w:p>
    <w:p w14:paraId="06CFFEC6" w14:textId="77777777" w:rsidR="006E5F0C" w:rsidRPr="00780196" w:rsidRDefault="00D2464C">
      <w:pPr>
        <w:spacing w:line="360" w:lineRule="auto"/>
        <w:rPr>
          <w:rFonts w:ascii="文泉驿微米黑" w:eastAsia="文泉驿微米黑" w:hAnsi="文泉驿微米黑" w:cs="Helvetica Neue"/>
        </w:rPr>
      </w:pPr>
      <w:r w:rsidRPr="00780196">
        <w:rPr>
          <w:rFonts w:ascii="文泉驿微米黑" w:eastAsia="文泉驿微米黑" w:hAnsi="文泉驿微米黑"/>
        </w:rPr>
        <w:br w:type="page"/>
      </w:r>
    </w:p>
    <w:p w14:paraId="746DB30A" w14:textId="77777777" w:rsidR="006E5F0C" w:rsidRPr="00780196" w:rsidRDefault="00D2464C">
      <w:pPr>
        <w:pStyle w:val="1"/>
        <w:spacing w:line="360" w:lineRule="auto"/>
        <w:jc w:val="center"/>
        <w:rPr>
          <w:rFonts w:ascii="文泉驿微米黑" w:eastAsia="文泉驿微米黑" w:hAnsi="文泉驿微米黑"/>
        </w:rPr>
      </w:pPr>
      <w:bookmarkStart w:id="4" w:name="_749ixnr5kq2b" w:colFirst="0" w:colLast="0"/>
      <w:bookmarkEnd w:id="4"/>
      <w:r w:rsidRPr="00780196">
        <w:rPr>
          <w:rFonts w:ascii="文泉驿微米黑" w:eastAsia="文泉驿微米黑" w:hAnsi="文泉驿微米黑"/>
        </w:rPr>
        <w:lastRenderedPageBreak/>
        <w:t>法律声明</w:t>
      </w:r>
    </w:p>
    <w:p w14:paraId="2F7A80EB" w14:textId="77777777" w:rsidR="006E5F0C" w:rsidRPr="00780196" w:rsidRDefault="006E5F0C">
      <w:pPr>
        <w:spacing w:line="360" w:lineRule="auto"/>
        <w:jc w:val="center"/>
        <w:rPr>
          <w:rFonts w:ascii="文泉驿微米黑" w:eastAsia="文泉驿微米黑" w:hAnsi="文泉驿微米黑" w:cs="Helvetica Neue"/>
        </w:rPr>
      </w:pPr>
    </w:p>
    <w:p w14:paraId="09B07BA2"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PingCAP </w:t>
      </w:r>
      <w:r w:rsidRPr="00780196">
        <w:rPr>
          <w:rFonts w:ascii="文泉驿微米黑" w:eastAsia="文泉驿微米黑" w:hAnsi="文泉驿微米黑" w:cs="Arial Unicode MS"/>
          <w:sz w:val="20"/>
          <w:szCs w:val="20"/>
        </w:rPr>
        <w:t>提醒您在阅读或</w:t>
      </w:r>
      <w:bookmarkStart w:id="5" w:name="lijbve3kam5q" w:colFirst="0" w:colLast="0"/>
      <w:bookmarkEnd w:id="5"/>
      <w:r w:rsidRPr="00780196">
        <w:rPr>
          <w:rFonts w:ascii="文泉驿微米黑" w:eastAsia="文泉驿微米黑" w:hAnsi="文泉驿微米黑" w:cs="Arial Unicode MS"/>
          <w:sz w:val="20"/>
          <w:szCs w:val="20"/>
        </w:rPr>
        <w:t>使用本文档之前仔细阅读、充分理解本法律声明各条款的内容。如果您阅读或使用本文档，您的阅读或使用行为将被视为对本声明全部内容的认可。</w:t>
      </w:r>
    </w:p>
    <w:p w14:paraId="5283BB89"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1. </w:t>
      </w:r>
      <w:r w:rsidRPr="00780196">
        <w:rPr>
          <w:rFonts w:ascii="文泉驿微米黑" w:eastAsia="文泉驿微米黑" w:hAnsi="文泉驿微米黑" w:cs="Arial Unicode MS"/>
          <w:sz w:val="20"/>
          <w:szCs w:val="20"/>
        </w:rPr>
        <w:t>您应当通过</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网站或</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提供的其他授权通道下载、获取本文档，且仅能用于自身的合法合</w:t>
      </w:r>
      <w:proofErr w:type="gramStart"/>
      <w:r w:rsidRPr="00780196">
        <w:rPr>
          <w:rFonts w:ascii="文泉驿微米黑" w:eastAsia="文泉驿微米黑" w:hAnsi="文泉驿微米黑" w:cs="Arial Unicode MS"/>
          <w:sz w:val="20"/>
          <w:szCs w:val="20"/>
        </w:rPr>
        <w:t>规</w:t>
      </w:r>
      <w:proofErr w:type="gramEnd"/>
      <w:r w:rsidRPr="00780196">
        <w:rPr>
          <w:rFonts w:ascii="文泉驿微米黑" w:eastAsia="文泉驿微米黑" w:hAnsi="文泉驿微米黑" w:cs="Arial Unicode MS"/>
          <w:sz w:val="20"/>
          <w:szCs w:val="20"/>
        </w:rPr>
        <w:t>的业务活动。本文档的内容视为</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的保密信息，您应当严格遵守保密义务；未经</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事先书面同意，</w:t>
      </w:r>
      <w:proofErr w:type="gramStart"/>
      <w:r w:rsidRPr="00780196">
        <w:rPr>
          <w:rFonts w:ascii="文泉驿微米黑" w:eastAsia="文泉驿微米黑" w:hAnsi="文泉驿微米黑" w:cs="Arial Unicode MS"/>
          <w:sz w:val="20"/>
          <w:szCs w:val="20"/>
        </w:rPr>
        <w:t>您不得</w:t>
      </w:r>
      <w:proofErr w:type="gramEnd"/>
      <w:r w:rsidRPr="00780196">
        <w:rPr>
          <w:rFonts w:ascii="文泉驿微米黑" w:eastAsia="文泉驿微米黑" w:hAnsi="文泉驿微米黑" w:cs="Arial Unicode MS"/>
          <w:sz w:val="20"/>
          <w:szCs w:val="20"/>
        </w:rPr>
        <w:t>向任何第三方披露本手册内容或提供给任何第三方使用。</w:t>
      </w:r>
    </w:p>
    <w:p w14:paraId="22BE4DC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2. </w:t>
      </w:r>
      <w:r w:rsidRPr="00780196">
        <w:rPr>
          <w:rFonts w:ascii="文泉驿微米黑" w:eastAsia="文泉驿微米黑" w:hAnsi="文泉驿微米黑" w:cs="Arial Unicode MS"/>
          <w:sz w:val="20"/>
          <w:szCs w:val="20"/>
        </w:rPr>
        <w:t>未经</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事先书面许可，任何单位、公司或个人不得擅自摘抄、翻译、复制本文档内容的部分或全部，不得以任何方式或途径进行传播和宣传。</w:t>
      </w:r>
    </w:p>
    <w:p w14:paraId="79BA074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3. </w:t>
      </w:r>
      <w:r w:rsidRPr="00780196">
        <w:rPr>
          <w:rFonts w:ascii="文泉驿微米黑" w:eastAsia="文泉驿微米黑" w:hAnsi="文泉驿微米黑" w:cs="Arial Unicode MS"/>
          <w:sz w:val="20"/>
          <w:szCs w:val="20"/>
        </w:rPr>
        <w:t>由于产品版本升级、调整或其他原因，本文档内容有可能变更。</w:t>
      </w:r>
      <w:r w:rsidRPr="00780196">
        <w:rPr>
          <w:rFonts w:ascii="文泉驿微米黑" w:eastAsia="文泉驿微米黑" w:hAnsi="文泉驿微米黑" w:cs="Arial Unicode MS"/>
          <w:sz w:val="20"/>
          <w:szCs w:val="20"/>
        </w:rPr>
        <w:t>Ping</w:t>
      </w:r>
      <w:r w:rsidRPr="00780196">
        <w:rPr>
          <w:rFonts w:ascii="文泉驿微米黑" w:eastAsia="文泉驿微米黑" w:hAnsi="文泉驿微米黑" w:cs="Arial Unicode MS"/>
          <w:sz w:val="20"/>
          <w:szCs w:val="20"/>
        </w:rPr>
        <w:t xml:space="preserve">CAP </w:t>
      </w:r>
      <w:r w:rsidRPr="00780196">
        <w:rPr>
          <w:rFonts w:ascii="文泉驿微米黑" w:eastAsia="文泉驿微米黑" w:hAnsi="文泉驿微米黑" w:cs="Arial Unicode MS"/>
          <w:sz w:val="20"/>
          <w:szCs w:val="20"/>
        </w:rPr>
        <w:t>保留在没有任何通知或者提示下对本文档的内容进行修改的权利，并在</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授权通道中不时发布更新后的用户文档。您应当实时关注用户文档的版本变更并通过</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网站或</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授权渠道下载、获取最新版的用户文档。</w:t>
      </w:r>
    </w:p>
    <w:p w14:paraId="70B54B8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4. </w:t>
      </w:r>
      <w:r w:rsidRPr="00780196">
        <w:rPr>
          <w:rFonts w:ascii="文泉驿微米黑" w:eastAsia="文泉驿微米黑" w:hAnsi="文泉驿微米黑" w:cs="Arial Unicode MS"/>
          <w:sz w:val="20"/>
          <w:szCs w:val="20"/>
        </w:rPr>
        <w:t>本文档仅作为用户使用</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产品及服务的参考性指引，</w:t>
      </w:r>
      <w:r w:rsidRPr="00780196">
        <w:rPr>
          <w:rFonts w:ascii="文泉驿微米黑" w:eastAsia="文泉驿微米黑" w:hAnsi="文泉驿微米黑" w:cs="Arial Unicode MS"/>
          <w:sz w:val="20"/>
          <w:szCs w:val="20"/>
        </w:rPr>
        <w:t xml:space="preserve">PingCAP </w:t>
      </w:r>
      <w:r w:rsidRPr="00780196">
        <w:rPr>
          <w:rFonts w:ascii="文泉驿微米黑" w:eastAsia="文泉驿微米黑" w:hAnsi="文泉驿微米黑" w:cs="Arial Unicode MS"/>
          <w:sz w:val="20"/>
          <w:szCs w:val="20"/>
        </w:rPr>
        <w:t>以产品及服务的</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现状</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有缺陷</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和</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当前功能</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的状态提供本文档。</w:t>
      </w:r>
      <w:r w:rsidRPr="00780196">
        <w:rPr>
          <w:rFonts w:ascii="文泉驿微米黑" w:eastAsia="文泉驿微米黑" w:hAnsi="文泉驿微米黑" w:cs="Arial Unicode MS"/>
          <w:sz w:val="20"/>
          <w:szCs w:val="20"/>
        </w:rPr>
        <w:t xml:space="preserve">PingCAP </w:t>
      </w:r>
      <w:r w:rsidRPr="00780196">
        <w:rPr>
          <w:rFonts w:ascii="文泉驿微米黑" w:eastAsia="文泉驿微米黑" w:hAnsi="文泉驿微米黑" w:cs="Arial Unicode MS"/>
          <w:sz w:val="20"/>
          <w:szCs w:val="20"/>
        </w:rPr>
        <w:t>在现有技术的基础上尽最大努力提供相应的介绍及操作指引，但</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在此明确声明对本文档内容的准确</w:t>
      </w:r>
      <w:r w:rsidRPr="00780196">
        <w:rPr>
          <w:rFonts w:ascii="文泉驿微米黑" w:eastAsia="文泉驿微米黑" w:hAnsi="文泉驿微米黑" w:cs="Arial Unicode MS"/>
          <w:sz w:val="20"/>
          <w:szCs w:val="20"/>
        </w:rPr>
        <w:t>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不承担任何法律责任。在任何情况下，</w:t>
      </w:r>
      <w:r w:rsidRPr="00780196">
        <w:rPr>
          <w:rFonts w:ascii="文泉驿微米黑" w:eastAsia="文泉驿微米黑" w:hAnsi="文泉驿微米黑" w:cs="Arial Unicode MS"/>
          <w:sz w:val="20"/>
          <w:szCs w:val="20"/>
        </w:rPr>
        <w:t xml:space="preserve">PingCAP </w:t>
      </w:r>
      <w:r w:rsidRPr="00780196">
        <w:rPr>
          <w:rFonts w:ascii="文泉驿微米黑" w:eastAsia="文泉驿微米黑" w:hAnsi="文泉驿微米黑" w:cs="Arial Unicode MS"/>
          <w:sz w:val="20"/>
          <w:szCs w:val="20"/>
        </w:rPr>
        <w:t>均不对任何间接性、后果性、惩戒性、偶然性、特殊性或刑罚性的损害，包括用户使用或信赖本文档而遭受的利润损失，承担责任（即使</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已被告知该等损失的可能性）。</w:t>
      </w:r>
    </w:p>
    <w:p w14:paraId="761EC704"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5. </w:t>
      </w:r>
      <w:r w:rsidRPr="00780196">
        <w:rPr>
          <w:rFonts w:ascii="文泉驿微米黑" w:eastAsia="文泉驿微米黑" w:hAnsi="文泉驿微米黑" w:cs="Arial Unicode MS"/>
          <w:sz w:val="20"/>
          <w:szCs w:val="20"/>
        </w:rPr>
        <w:t>本文档中及</w:t>
      </w:r>
      <w:r w:rsidRPr="00780196">
        <w:rPr>
          <w:rFonts w:ascii="文泉驿微米黑" w:eastAsia="文泉驿微米黑" w:hAnsi="文泉驿微米黑" w:cs="Arial Unicode MS"/>
          <w:sz w:val="20"/>
          <w:szCs w:val="20"/>
        </w:rPr>
        <w:t xml:space="preserve">PingCAP </w:t>
      </w:r>
      <w:r w:rsidRPr="00780196">
        <w:rPr>
          <w:rFonts w:ascii="文泉驿微米黑" w:eastAsia="文泉驿微米黑" w:hAnsi="文泉驿微米黑" w:cs="Arial Unicode MS"/>
          <w:sz w:val="20"/>
          <w:szCs w:val="20"/>
        </w:rPr>
        <w:t>网站上所有内容，包括但不限于作品、产品、图片、档案、资讯、资料、网站架构、网站画面的安排、网页设计等，均由</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和</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或其关联公司依法拥有其知识产权，包括但不限于商标权、专利权、著作权、商业秘密等。非经</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和</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或其关联公司书面同意，任何人不得擅自使用、修改、复制、公开传播、改变、散布、发行或公开发表</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网站、产品程序或包括本文档在内的内容。此外，未经</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事先书面同意，任何人不得以任何目的使用</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商标（包括但</w:t>
      </w:r>
      <w:r w:rsidRPr="00780196">
        <w:rPr>
          <w:rFonts w:ascii="文泉驿微米黑" w:eastAsia="文泉驿微米黑" w:hAnsi="文泉驿微米黑" w:cs="Arial Unicode MS"/>
          <w:sz w:val="20"/>
          <w:szCs w:val="20"/>
        </w:rPr>
        <w:lastRenderedPageBreak/>
        <w:t>不限</w:t>
      </w:r>
      <w:r w:rsidRPr="00780196">
        <w:rPr>
          <w:rFonts w:ascii="文泉驿微米黑" w:eastAsia="文泉驿微米黑" w:hAnsi="文泉驿微米黑" w:cs="Arial Unicode MS"/>
          <w:sz w:val="20"/>
          <w:szCs w:val="20"/>
        </w:rPr>
        <w:t>于单独为或以组合形式包含</w:t>
      </w:r>
      <w:r w:rsidRPr="00780196">
        <w:rPr>
          <w:rFonts w:ascii="文泉驿微米黑" w:eastAsia="文泉驿微米黑" w:hAnsi="文泉驿微米黑" w:cs="Arial Unicode MS"/>
          <w:sz w:val="20"/>
          <w:szCs w:val="20"/>
        </w:rPr>
        <w:t>“PingCAP”</w:t>
      </w:r>
      <w:r w:rsidRPr="00780196">
        <w:rPr>
          <w:rFonts w:ascii="文泉驿微米黑" w:eastAsia="文泉驿微米黑" w:hAnsi="文泉驿微米黑" w:cs="Arial Unicode MS"/>
          <w:sz w:val="20"/>
          <w:szCs w:val="20"/>
        </w:rPr>
        <w:t>等</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和</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或其关联公司品牌，上述品牌的附属标志及图案或任何类似公司名称、商号、商标、产品或服务名称、域名、图案标示、标志、标识或通过特定描述使第三方能够识别</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和</w:t>
      </w:r>
      <w:r w:rsidRPr="00780196">
        <w:rPr>
          <w:rFonts w:ascii="文泉驿微米黑" w:eastAsia="文泉驿微米黑" w:hAnsi="文泉驿微米黑" w:cs="Arial Unicode MS"/>
          <w:sz w:val="20"/>
          <w:szCs w:val="20"/>
        </w:rPr>
        <w:t>/</w:t>
      </w:r>
      <w:r w:rsidRPr="00780196">
        <w:rPr>
          <w:rFonts w:ascii="文泉驿微米黑" w:eastAsia="文泉驿微米黑" w:hAnsi="文泉驿微米黑" w:cs="Arial Unicode MS"/>
          <w:sz w:val="20"/>
          <w:szCs w:val="20"/>
        </w:rPr>
        <w:t>或其关联公司）。</w:t>
      </w:r>
    </w:p>
    <w:p w14:paraId="15C5C9FC"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6. PingCAP </w:t>
      </w:r>
      <w:r w:rsidRPr="00780196">
        <w:rPr>
          <w:rFonts w:ascii="文泉驿微米黑" w:eastAsia="文泉驿微米黑" w:hAnsi="文泉驿微米黑" w:cs="Arial Unicode MS"/>
          <w:sz w:val="20"/>
          <w:szCs w:val="20"/>
        </w:rPr>
        <w:t>可能拥有涵盖本文档中描述的主题的专利或者专利申请，未经</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事先书面许可，本文档并不授予您关于这些专利或专利申请的任何许可。</w:t>
      </w:r>
    </w:p>
    <w:p w14:paraId="5FE280D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 xml:space="preserve">7. </w:t>
      </w:r>
      <w:r w:rsidRPr="00780196">
        <w:rPr>
          <w:rFonts w:ascii="文泉驿微米黑" w:eastAsia="文泉驿微米黑" w:hAnsi="文泉驿微米黑" w:cs="Arial Unicode MS"/>
          <w:sz w:val="20"/>
          <w:szCs w:val="20"/>
        </w:rPr>
        <w:t>本文档中如有关于</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未来方向或意图的声明，仅表示目标或者目的，</w:t>
      </w:r>
      <w:r w:rsidRPr="00780196">
        <w:rPr>
          <w:rFonts w:ascii="文泉驿微米黑" w:eastAsia="文泉驿微米黑" w:hAnsi="文泉驿微米黑" w:cs="Arial Unicode MS"/>
          <w:sz w:val="20"/>
          <w:szCs w:val="20"/>
        </w:rPr>
        <w:t xml:space="preserve"> </w:t>
      </w:r>
      <w:r w:rsidRPr="00780196">
        <w:rPr>
          <w:rFonts w:ascii="文泉驿微米黑" w:eastAsia="文泉驿微米黑" w:hAnsi="文泉驿微米黑" w:cs="Arial Unicode MS"/>
          <w:sz w:val="20"/>
          <w:szCs w:val="20"/>
        </w:rPr>
        <w:t>如有更改或撤销，</w:t>
      </w:r>
      <w:r w:rsidRPr="00780196">
        <w:rPr>
          <w:rFonts w:ascii="文泉驿微米黑" w:eastAsia="文泉驿微米黑" w:hAnsi="文泉驿微米黑" w:cs="Arial Unicode MS"/>
          <w:sz w:val="20"/>
          <w:szCs w:val="20"/>
        </w:rPr>
        <w:t>恕不另行通知。</w:t>
      </w:r>
    </w:p>
    <w:p w14:paraId="0F74BB94" w14:textId="77777777" w:rsidR="006E5F0C" w:rsidRPr="00780196" w:rsidRDefault="00D2464C">
      <w:pPr>
        <w:spacing w:line="360" w:lineRule="auto"/>
        <w:rPr>
          <w:rFonts w:ascii="文泉驿微米黑" w:eastAsia="文泉驿微米黑" w:hAnsi="文泉驿微米黑" w:cs="Helvetica Neue"/>
          <w:sz w:val="20"/>
          <w:szCs w:val="20"/>
        </w:rPr>
        <w:sectPr w:rsidR="006E5F0C" w:rsidRPr="00780196">
          <w:headerReference w:type="default" r:id="rId8"/>
          <w:footerReference w:type="default" r:id="rId9"/>
          <w:headerReference w:type="first" r:id="rId10"/>
          <w:footerReference w:type="first" r:id="rId11"/>
          <w:pgSz w:w="11909" w:h="16834"/>
          <w:pgMar w:top="1440" w:right="1440" w:bottom="1440" w:left="1440" w:header="720" w:footer="720" w:gutter="0"/>
          <w:pgNumType w:start="1"/>
          <w:cols w:space="720"/>
          <w:titlePg/>
        </w:sectPr>
      </w:pPr>
      <w:r w:rsidRPr="00780196">
        <w:rPr>
          <w:rFonts w:ascii="文泉驿微米黑" w:eastAsia="文泉驿微米黑" w:hAnsi="文泉驿微米黑" w:cs="Arial Unicode MS"/>
          <w:sz w:val="20"/>
          <w:szCs w:val="20"/>
        </w:rPr>
        <w:t xml:space="preserve">8. </w:t>
      </w:r>
      <w:r w:rsidRPr="00780196">
        <w:rPr>
          <w:rFonts w:ascii="文泉驿微米黑" w:eastAsia="文泉驿微米黑" w:hAnsi="文泉驿微米黑" w:cs="Arial Unicode MS"/>
          <w:sz w:val="20"/>
          <w:szCs w:val="20"/>
        </w:rPr>
        <w:t>如若发现本文档存在任何错误，请与</w:t>
      </w:r>
      <w:r w:rsidRPr="00780196">
        <w:rPr>
          <w:rFonts w:ascii="文泉驿微米黑" w:eastAsia="文泉驿微米黑" w:hAnsi="文泉驿微米黑" w:cs="Arial Unicode MS"/>
          <w:sz w:val="20"/>
          <w:szCs w:val="20"/>
        </w:rPr>
        <w:t xml:space="preserve"> PingCAP </w:t>
      </w:r>
      <w:r w:rsidRPr="00780196">
        <w:rPr>
          <w:rFonts w:ascii="文泉驿微米黑" w:eastAsia="文泉驿微米黑" w:hAnsi="文泉驿微米黑" w:cs="Arial Unicode MS"/>
          <w:sz w:val="20"/>
          <w:szCs w:val="20"/>
        </w:rPr>
        <w:t>取得直接联系。</w:t>
      </w:r>
      <w:r w:rsidRPr="00780196">
        <w:rPr>
          <w:rFonts w:ascii="文泉驿微米黑" w:eastAsia="文泉驿微米黑" w:hAnsi="文泉驿微米黑" w:cs="Arial Unicode MS"/>
          <w:sz w:val="20"/>
          <w:szCs w:val="20"/>
        </w:rPr>
        <w:t xml:space="preserve">PingCAP </w:t>
      </w:r>
      <w:r w:rsidRPr="00780196">
        <w:rPr>
          <w:rFonts w:ascii="文泉驿微米黑" w:eastAsia="文泉驿微米黑" w:hAnsi="文泉驿微米黑" w:cs="Arial Unicode MS"/>
          <w:sz w:val="20"/>
          <w:szCs w:val="20"/>
        </w:rPr>
        <w:t>可能会以它认为合适的任何方式使用或分发您提供的任何信息，而无需对</w:t>
      </w:r>
      <w:proofErr w:type="gramStart"/>
      <w:r w:rsidRPr="00780196">
        <w:rPr>
          <w:rFonts w:ascii="文泉驿微米黑" w:eastAsia="文泉驿微米黑" w:hAnsi="文泉驿微米黑" w:cs="Arial Unicode MS"/>
          <w:sz w:val="20"/>
          <w:szCs w:val="20"/>
        </w:rPr>
        <w:t>您承担</w:t>
      </w:r>
      <w:proofErr w:type="gramEnd"/>
      <w:r w:rsidRPr="00780196">
        <w:rPr>
          <w:rFonts w:ascii="文泉驿微米黑" w:eastAsia="文泉驿微米黑" w:hAnsi="文泉驿微米黑" w:cs="Arial Unicode MS"/>
          <w:sz w:val="20"/>
          <w:szCs w:val="20"/>
        </w:rPr>
        <w:t>任何义务。</w:t>
      </w:r>
    </w:p>
    <w:p w14:paraId="0C4CD497" w14:textId="77777777" w:rsidR="006E5F0C" w:rsidRPr="00780196" w:rsidRDefault="00D2464C">
      <w:pPr>
        <w:pStyle w:val="1"/>
        <w:jc w:val="center"/>
        <w:rPr>
          <w:rFonts w:ascii="文泉驿微米黑" w:eastAsia="文泉驿微米黑" w:hAnsi="文泉驿微米黑"/>
        </w:rPr>
      </w:pPr>
      <w:bookmarkStart w:id="6" w:name="_1bq831043ll" w:colFirst="0" w:colLast="0"/>
      <w:bookmarkEnd w:id="6"/>
      <w:r w:rsidRPr="00780196">
        <w:rPr>
          <w:rFonts w:ascii="文泉驿微米黑" w:eastAsia="文泉驿微米黑" w:hAnsi="文泉驿微米黑"/>
        </w:rPr>
        <w:lastRenderedPageBreak/>
        <w:t>目</w:t>
      </w:r>
      <w:r w:rsidRPr="00780196">
        <w:rPr>
          <w:rFonts w:ascii="文泉驿微米黑" w:eastAsia="文泉驿微米黑" w:hAnsi="文泉驿微米黑"/>
        </w:rPr>
        <w:t xml:space="preserve"> </w:t>
      </w:r>
      <w:r w:rsidRPr="00780196">
        <w:rPr>
          <w:rFonts w:ascii="文泉驿微米黑" w:eastAsia="文泉驿微米黑" w:hAnsi="文泉驿微米黑"/>
        </w:rPr>
        <w:t>录</w:t>
      </w:r>
    </w:p>
    <w:p w14:paraId="7A8464B1" w14:textId="77777777" w:rsidR="006E5F0C" w:rsidRPr="00780196" w:rsidRDefault="006E5F0C">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878666027"/>
        <w:docPartObj>
          <w:docPartGallery w:val="Table of Contents"/>
          <w:docPartUnique/>
        </w:docPartObj>
      </w:sdtPr>
      <w:sdtEndPr/>
      <w:sdtContent>
        <w:p w14:paraId="4417D136" w14:textId="77777777" w:rsidR="006E5F0C" w:rsidRPr="00780196" w:rsidRDefault="00D2464C">
          <w:pPr>
            <w:tabs>
              <w:tab w:val="right" w:pos="9025"/>
            </w:tabs>
            <w:spacing w:before="80" w:line="240" w:lineRule="auto"/>
            <w:rPr>
              <w:rFonts w:ascii="文泉驿微米黑" w:eastAsia="文泉驿微米黑" w:hAnsi="文泉驿微米黑" w:cs="Helvetica Neue"/>
            </w:rPr>
          </w:pP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TOC \h \u \z </w:instrText>
          </w:r>
          <w:r w:rsidRPr="00780196">
            <w:rPr>
              <w:rFonts w:ascii="文泉驿微米黑" w:eastAsia="文泉驿微米黑" w:hAnsi="文泉驿微米黑"/>
            </w:rPr>
            <w:fldChar w:fldCharType="separate"/>
          </w:r>
          <w:hyperlink w:anchor="_749ixnr5kq2b">
            <w:r w:rsidRPr="00780196">
              <w:rPr>
                <w:rFonts w:ascii="文泉驿微米黑" w:eastAsia="文泉驿微米黑" w:hAnsi="文泉驿微米黑" w:cs="Helvetica Neue"/>
                <w:b/>
              </w:rPr>
              <w:t>法律声明</w:t>
            </w:r>
          </w:hyperlink>
          <w:r w:rsidRPr="00780196">
            <w:rPr>
              <w:rFonts w:ascii="文泉驿微米黑" w:eastAsia="文泉驿微米黑" w:hAnsi="文泉驿微米黑" w:cs="Helvetica Neue"/>
              <w:b/>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_749ixnr5kq2b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rPr>
            <w:t>2</w:t>
          </w:r>
          <w:r w:rsidRPr="00780196">
            <w:rPr>
              <w:rFonts w:ascii="文泉驿微米黑" w:eastAsia="文泉驿微米黑" w:hAnsi="文泉驿微米黑"/>
            </w:rPr>
            <w:fldChar w:fldCharType="end"/>
          </w:r>
        </w:p>
        <w:p w14:paraId="60C1E8A5" w14:textId="77777777" w:rsidR="006E5F0C" w:rsidRPr="00780196" w:rsidRDefault="00D2464C">
          <w:pPr>
            <w:tabs>
              <w:tab w:val="right" w:pos="9025"/>
            </w:tabs>
            <w:spacing w:before="200" w:line="240" w:lineRule="auto"/>
            <w:rPr>
              <w:rFonts w:ascii="文泉驿微米黑" w:eastAsia="文泉驿微米黑" w:hAnsi="文泉驿微米黑" w:cs="Helvetica Neue"/>
            </w:rPr>
          </w:pPr>
          <w:hyperlink w:anchor="_1bq831043ll">
            <w:r w:rsidRPr="00780196">
              <w:rPr>
                <w:rFonts w:ascii="文泉驿微米黑" w:eastAsia="文泉驿微米黑" w:hAnsi="文泉驿微米黑" w:cs="Helvetica Neue"/>
                <w:b/>
              </w:rPr>
              <w:t>目</w:t>
            </w:r>
            <w:r w:rsidRPr="00780196">
              <w:rPr>
                <w:rFonts w:ascii="文泉驿微米黑" w:eastAsia="文泉驿微米黑" w:hAnsi="文泉驿微米黑" w:cs="Helvetica Neue"/>
                <w:b/>
              </w:rPr>
              <w:t xml:space="preserve"> </w:t>
            </w:r>
            <w:r w:rsidRPr="00780196">
              <w:rPr>
                <w:rFonts w:ascii="文泉驿微米黑" w:eastAsia="文泉驿微米黑" w:hAnsi="文泉驿微米黑" w:cs="Helvetica Neue"/>
                <w:b/>
              </w:rPr>
              <w:t>录</w:t>
            </w:r>
          </w:hyperlink>
          <w:r w:rsidRPr="00780196">
            <w:rPr>
              <w:rFonts w:ascii="文泉驿微米黑" w:eastAsia="文泉驿微米黑" w:hAnsi="文泉驿微米黑" w:cs="Helvetica Neue"/>
              <w:b/>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_1bq831043ll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rPr>
            <w:t>4</w:t>
          </w:r>
          <w:r w:rsidRPr="00780196">
            <w:rPr>
              <w:rFonts w:ascii="文泉驿微米黑" w:eastAsia="文泉驿微米黑" w:hAnsi="文泉驿微米黑"/>
            </w:rPr>
            <w:fldChar w:fldCharType="end"/>
          </w:r>
        </w:p>
        <w:p w14:paraId="0A06EE97" w14:textId="77777777" w:rsidR="006E5F0C" w:rsidRPr="00780196" w:rsidRDefault="00D2464C">
          <w:pPr>
            <w:tabs>
              <w:tab w:val="right" w:pos="9025"/>
            </w:tabs>
            <w:spacing w:before="200" w:line="240" w:lineRule="auto"/>
            <w:rPr>
              <w:rFonts w:ascii="文泉驿微米黑" w:eastAsia="文泉驿微米黑" w:hAnsi="文泉驿微米黑" w:cs="Helvetica Neue"/>
              <w:color w:val="000000"/>
            </w:rPr>
          </w:pPr>
          <w:hyperlink w:anchor="_2zlaqoeqde6p">
            <w:r w:rsidRPr="00780196">
              <w:rPr>
                <w:rFonts w:ascii="文泉驿微米黑" w:eastAsia="文泉驿微米黑" w:hAnsi="文泉驿微米黑" w:cs="Helvetica Neue"/>
                <w:color w:val="000000"/>
              </w:rPr>
              <w:t xml:space="preserve">TiDB </w:t>
            </w:r>
            <w:r w:rsidRPr="00780196">
              <w:rPr>
                <w:rFonts w:ascii="文泉驿微米黑" w:eastAsia="文泉驿微米黑" w:hAnsi="文泉驿微米黑" w:cs="Helvetica Neue"/>
                <w:color w:val="000000"/>
              </w:rPr>
              <w:t>简介</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_2zla</w:instrText>
          </w:r>
          <w:r w:rsidRPr="00780196">
            <w:rPr>
              <w:rFonts w:ascii="文泉驿微米黑" w:eastAsia="文泉驿微米黑" w:hAnsi="文泉驿微米黑"/>
            </w:rPr>
            <w:instrText xml:space="preserve">qoeqde6p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color w:val="000000"/>
            </w:rPr>
            <w:t>5</w:t>
          </w:r>
          <w:r w:rsidRPr="00780196">
            <w:rPr>
              <w:rFonts w:ascii="文泉驿微米黑" w:eastAsia="文泉驿微米黑" w:hAnsi="文泉驿微米黑"/>
            </w:rPr>
            <w:fldChar w:fldCharType="end"/>
          </w:r>
        </w:p>
        <w:p w14:paraId="46FBD8DE" w14:textId="77777777" w:rsidR="006E5F0C" w:rsidRPr="00780196" w:rsidRDefault="00D2464C">
          <w:pPr>
            <w:tabs>
              <w:tab w:val="right" w:pos="9025"/>
            </w:tabs>
            <w:spacing w:before="200" w:line="240" w:lineRule="auto"/>
            <w:rPr>
              <w:rFonts w:ascii="文泉驿微米黑" w:eastAsia="文泉驿微米黑" w:hAnsi="文泉驿微米黑" w:cs="Helvetica Neue"/>
              <w:b/>
              <w:color w:val="000000"/>
            </w:rPr>
          </w:pPr>
          <w:hyperlink w:anchor="_wmib51i0ys7w">
            <w:r w:rsidRPr="00780196">
              <w:rPr>
                <w:rFonts w:ascii="文泉驿微米黑" w:eastAsia="文泉驿微米黑" w:hAnsi="文泉驿微米黑" w:cs="Helvetica Neue"/>
                <w:b/>
                <w:color w:val="000000"/>
              </w:rPr>
              <w:t>产品优势</w:t>
            </w:r>
          </w:hyperlink>
          <w:r w:rsidRPr="00780196">
            <w:rPr>
              <w:rFonts w:ascii="文泉驿微米黑" w:eastAsia="文泉驿微米黑" w:hAnsi="文泉驿微米黑" w:cs="Helvetica Neue"/>
              <w:b/>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_wmib51i0ys7w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color w:val="000000"/>
            </w:rPr>
            <w:t>5</w:t>
          </w:r>
          <w:r w:rsidRPr="00780196">
            <w:rPr>
              <w:rFonts w:ascii="文泉驿微米黑" w:eastAsia="文泉驿微米黑" w:hAnsi="文泉驿微米黑"/>
            </w:rPr>
            <w:fldChar w:fldCharType="end"/>
          </w:r>
        </w:p>
        <w:p w14:paraId="46BB9776"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qbflc7rpzlpd">
            <w:r w:rsidRPr="00780196">
              <w:rPr>
                <w:rFonts w:ascii="文泉驿微米黑" w:eastAsia="文泉驿微米黑" w:hAnsi="文泉驿微米黑" w:cs="Helvetica Neue"/>
                <w:color w:val="000000"/>
              </w:rPr>
              <w:t>一键水</w:t>
            </w:r>
            <w:r w:rsidRPr="00780196">
              <w:rPr>
                <w:rFonts w:ascii="文泉驿微米黑" w:eastAsia="文泉驿微米黑" w:hAnsi="文泉驿微米黑" w:cs="Helvetica Neue"/>
                <w:color w:val="000000"/>
              </w:rPr>
              <w:t>平扩容或缩容</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_qbflc7rpzlpd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5</w:t>
          </w:r>
          <w:r w:rsidRPr="00780196">
            <w:rPr>
              <w:rFonts w:ascii="文泉驿微米黑" w:eastAsia="文泉驿微米黑" w:hAnsi="文泉驿微米黑"/>
            </w:rPr>
            <w:fldChar w:fldCharType="end"/>
          </w:r>
        </w:p>
        <w:p w14:paraId="25AE6967"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w1hy5az2ynsh">
            <w:r w:rsidRPr="00780196">
              <w:rPr>
                <w:rFonts w:ascii="文泉驿微米黑" w:eastAsia="文泉驿微米黑" w:hAnsi="文泉驿微米黑" w:cs="Helvetica Neue"/>
                <w:color w:val="000000"/>
              </w:rPr>
              <w:t>金融级高可用</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_w1hy5az2ynsh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5</w:t>
          </w:r>
          <w:r w:rsidRPr="00780196">
            <w:rPr>
              <w:rFonts w:ascii="文泉驿微米黑" w:eastAsia="文泉驿微米黑" w:hAnsi="文泉驿微米黑"/>
            </w:rPr>
            <w:fldChar w:fldCharType="end"/>
          </w:r>
        </w:p>
        <w:p w14:paraId="2F0E5E99"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k5g61v5pljwi">
            <w:r w:rsidRPr="00780196">
              <w:rPr>
                <w:rFonts w:ascii="文泉驿微米黑" w:eastAsia="文泉驿微米黑" w:hAnsi="文泉驿微米黑" w:cs="Helvetica Neue"/>
                <w:color w:val="000000"/>
              </w:rPr>
              <w:t>实时</w:t>
            </w:r>
            <w:r w:rsidRPr="00780196">
              <w:rPr>
                <w:rFonts w:ascii="文泉驿微米黑" w:eastAsia="文泉驿微米黑" w:hAnsi="文泉驿微米黑" w:cs="Helvetica Neue"/>
                <w:color w:val="000000"/>
              </w:rPr>
              <w:t xml:space="preserve"> HTAP</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w:instrText>
          </w:r>
          <w:r w:rsidRPr="00780196">
            <w:rPr>
              <w:rFonts w:ascii="文泉驿微米黑" w:eastAsia="文泉驿微米黑" w:hAnsi="文泉驿微米黑"/>
            </w:rPr>
            <w:instrText xml:space="preserve">_k5g61v5pljwi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5</w:t>
          </w:r>
          <w:r w:rsidRPr="00780196">
            <w:rPr>
              <w:rFonts w:ascii="文泉驿微米黑" w:eastAsia="文泉驿微米黑" w:hAnsi="文泉驿微米黑"/>
            </w:rPr>
            <w:fldChar w:fldCharType="end"/>
          </w:r>
        </w:p>
        <w:p w14:paraId="554FE6AD"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fgjwwpldqi5h">
            <w:r w:rsidRPr="00780196">
              <w:rPr>
                <w:rFonts w:ascii="文泉驿微米黑" w:eastAsia="文泉驿微米黑" w:hAnsi="文泉驿微米黑" w:cs="Helvetica Neue"/>
                <w:color w:val="000000"/>
              </w:rPr>
              <w:t>高度兼容</w:t>
            </w:r>
            <w:r w:rsidRPr="00780196">
              <w:rPr>
                <w:rFonts w:ascii="文泉驿微米黑" w:eastAsia="文泉驿微米黑" w:hAnsi="文泉驿微米黑" w:cs="Helvetica Neue"/>
                <w:color w:val="000000"/>
              </w:rPr>
              <w:t xml:space="preserve"> MySQL </w:t>
            </w:r>
            <w:r w:rsidRPr="00780196">
              <w:rPr>
                <w:rFonts w:ascii="文泉驿微米黑" w:eastAsia="文泉驿微米黑" w:hAnsi="文泉驿微米黑" w:cs="Helvetica Neue"/>
                <w:color w:val="000000"/>
              </w:rPr>
              <w:t>及</w:t>
            </w:r>
            <w:r w:rsidRPr="00780196">
              <w:rPr>
                <w:rFonts w:ascii="文泉驿微米黑" w:eastAsia="文泉驿微米黑" w:hAnsi="文泉驿微米黑" w:cs="Helvetica Neue"/>
                <w:color w:val="000000"/>
              </w:rPr>
              <w:t xml:space="preserve"> MySQL </w:t>
            </w:r>
            <w:r w:rsidRPr="00780196">
              <w:rPr>
                <w:rFonts w:ascii="文泉驿微米黑" w:eastAsia="文泉驿微米黑" w:hAnsi="文泉驿微米黑" w:cs="Helvetica Neue"/>
                <w:color w:val="000000"/>
              </w:rPr>
              <w:t>生态</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_fgjwwpldqi5h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5</w:t>
          </w:r>
          <w:r w:rsidRPr="00780196">
            <w:rPr>
              <w:rFonts w:ascii="文泉驿微米黑" w:eastAsia="文泉驿微米黑" w:hAnsi="文泉驿微米黑"/>
            </w:rPr>
            <w:fldChar w:fldCharType="end"/>
          </w:r>
        </w:p>
        <w:p w14:paraId="7551658B"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4v34rt3im0x7">
            <w:r w:rsidRPr="00780196">
              <w:rPr>
                <w:rFonts w:ascii="文泉驿微米黑" w:eastAsia="文泉驿微米黑" w:hAnsi="文泉驿微米黑" w:cs="Helvetica Neue"/>
                <w:color w:val="000000"/>
              </w:rPr>
              <w:t>云原生的分布式数据库服务</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_4v34rt3im0x7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6</w:t>
          </w:r>
          <w:r w:rsidRPr="00780196">
            <w:rPr>
              <w:rFonts w:ascii="文泉驿微米黑" w:eastAsia="文泉驿微米黑" w:hAnsi="文泉驿微米黑"/>
            </w:rPr>
            <w:fldChar w:fldCharType="end"/>
          </w:r>
        </w:p>
        <w:p w14:paraId="4EB17883" w14:textId="77777777" w:rsidR="006E5F0C" w:rsidRPr="00780196" w:rsidRDefault="00D2464C">
          <w:pPr>
            <w:tabs>
              <w:tab w:val="right" w:pos="9025"/>
            </w:tabs>
            <w:spacing w:before="200" w:line="240" w:lineRule="auto"/>
            <w:rPr>
              <w:rFonts w:ascii="文泉驿微米黑" w:eastAsia="文泉驿微米黑" w:hAnsi="文泉驿微米黑" w:cs="Helvetica Neue"/>
              <w:b/>
              <w:color w:val="000000"/>
            </w:rPr>
          </w:pPr>
          <w:hyperlink w:anchor="_nnit5wh8aeee">
            <w:r w:rsidRPr="00780196">
              <w:rPr>
                <w:rFonts w:ascii="文泉驿微米黑" w:eastAsia="文泉驿微米黑" w:hAnsi="文泉驿微米黑" w:cs="Helvetica Neue"/>
                <w:b/>
                <w:color w:val="000000"/>
              </w:rPr>
              <w:t>产品架构</w:t>
            </w:r>
          </w:hyperlink>
          <w:r w:rsidRPr="00780196">
            <w:rPr>
              <w:rFonts w:ascii="文泉驿微米黑" w:eastAsia="文泉驿微米黑" w:hAnsi="文泉驿微米黑" w:cs="Helvetica Neue"/>
              <w:b/>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_nnit5wh8aeee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color w:val="000000"/>
            </w:rPr>
            <w:t>7</w:t>
          </w:r>
          <w:r w:rsidRPr="00780196">
            <w:rPr>
              <w:rFonts w:ascii="文泉驿微米黑" w:eastAsia="文泉驿微米黑" w:hAnsi="文泉驿微米黑"/>
            </w:rPr>
            <w:fldChar w:fldCharType="end"/>
          </w:r>
        </w:p>
        <w:p w14:paraId="09690C8A"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nce58efdmxbl">
            <w:r w:rsidRPr="00780196">
              <w:rPr>
                <w:rFonts w:ascii="文泉驿微米黑" w:eastAsia="文泉驿微米黑" w:hAnsi="文泉驿微米黑" w:cs="Helvetica Neue"/>
                <w:color w:val="000000"/>
              </w:rPr>
              <w:t xml:space="preserve">SQL </w:t>
            </w:r>
            <w:r w:rsidRPr="00780196">
              <w:rPr>
                <w:rFonts w:ascii="文泉驿微米黑" w:eastAsia="文泉驿微米黑" w:hAnsi="文泉驿微米黑" w:cs="Helvetica Neue"/>
                <w:color w:val="000000"/>
              </w:rPr>
              <w:t>解析模块</w:t>
            </w:r>
            <w:r w:rsidRPr="00780196">
              <w:rPr>
                <w:rFonts w:ascii="文泉驿微米黑" w:eastAsia="文泉驿微米黑" w:hAnsi="文泉驿微米黑" w:cs="Helvetica Neue"/>
                <w:color w:val="000000"/>
              </w:rPr>
              <w:t xml:space="preserve"> TiDB Server</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_nce58efdmxbl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7</w:t>
          </w:r>
          <w:r w:rsidRPr="00780196">
            <w:rPr>
              <w:rFonts w:ascii="文泉驿微米黑" w:eastAsia="文泉驿微米黑" w:hAnsi="文泉驿微米黑"/>
            </w:rPr>
            <w:fldChar w:fldCharType="end"/>
          </w:r>
        </w:p>
        <w:p w14:paraId="1E12C088"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kfe6pwqtr4f5">
            <w:r w:rsidRPr="00780196">
              <w:rPr>
                <w:rFonts w:ascii="文泉驿微米黑" w:eastAsia="文泉驿微米黑" w:hAnsi="文泉驿微米黑" w:cs="Helvetica Neue"/>
                <w:color w:val="000000"/>
              </w:rPr>
              <w:t>元信息</w:t>
            </w:r>
            <w:r w:rsidRPr="00780196">
              <w:rPr>
                <w:rFonts w:ascii="文泉驿微米黑" w:eastAsia="文泉驿微米黑" w:hAnsi="文泉驿微米黑" w:cs="Helvetica Neue"/>
                <w:color w:val="000000"/>
              </w:rPr>
              <w:t>管理模块</w:t>
            </w:r>
            <w:r w:rsidRPr="00780196">
              <w:rPr>
                <w:rFonts w:ascii="文泉驿微米黑" w:eastAsia="文泉驿微米黑" w:hAnsi="文泉驿微米黑" w:cs="Helvetica Neue"/>
                <w:color w:val="000000"/>
              </w:rPr>
              <w:t xml:space="preserve"> PD (Placement Driver) Server</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_kfe6pwqtr4f5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7</w:t>
          </w:r>
          <w:r w:rsidRPr="00780196">
            <w:rPr>
              <w:rFonts w:ascii="文泉驿微米黑" w:eastAsia="文泉驿微米黑" w:hAnsi="文泉驿微米黑"/>
            </w:rPr>
            <w:fldChar w:fldCharType="end"/>
          </w:r>
        </w:p>
        <w:p w14:paraId="5070F64D"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ml4tidwmdnoa">
            <w:r w:rsidRPr="00780196">
              <w:rPr>
                <w:rFonts w:ascii="文泉驿微米黑" w:eastAsia="文泉驿微米黑" w:hAnsi="文泉驿微米黑" w:cs="Helvetica Neue"/>
                <w:color w:val="000000"/>
              </w:rPr>
              <w:t>存储引擎</w:t>
            </w:r>
            <w:r w:rsidRPr="00780196">
              <w:rPr>
                <w:rFonts w:ascii="文泉驿微米黑" w:eastAsia="文泉驿微米黑" w:hAnsi="文泉驿微米黑" w:cs="Helvetica Neue"/>
                <w:color w:val="000000"/>
              </w:rPr>
              <w:t xml:space="preserve"> TiKV </w:t>
            </w:r>
            <w:r w:rsidRPr="00780196">
              <w:rPr>
                <w:rFonts w:ascii="文泉驿微米黑" w:eastAsia="文泉驿微米黑" w:hAnsi="文泉驿微米黑" w:cs="Helvetica Neue"/>
                <w:color w:val="000000"/>
              </w:rPr>
              <w:t>和</w:t>
            </w:r>
            <w:r w:rsidRPr="00780196">
              <w:rPr>
                <w:rFonts w:ascii="文泉驿微米黑" w:eastAsia="文泉驿微米黑" w:hAnsi="文泉驿微米黑" w:cs="Helvetica Neue"/>
                <w:color w:val="000000"/>
              </w:rPr>
              <w:t xml:space="preserve"> TiFlash</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_ml4tidwmdnoa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8</w:t>
          </w:r>
          <w:r w:rsidRPr="00780196">
            <w:rPr>
              <w:rFonts w:ascii="文泉驿微米黑" w:eastAsia="文泉驿微米黑" w:hAnsi="文泉驿微米黑"/>
            </w:rPr>
            <w:fldChar w:fldCharType="end"/>
          </w:r>
        </w:p>
        <w:p w14:paraId="18A5BA19" w14:textId="77777777" w:rsidR="006E5F0C" w:rsidRPr="00780196" w:rsidRDefault="00D2464C">
          <w:pPr>
            <w:tabs>
              <w:tab w:val="right" w:pos="9025"/>
            </w:tabs>
            <w:spacing w:before="200" w:line="240" w:lineRule="auto"/>
            <w:rPr>
              <w:rFonts w:ascii="文泉驿微米黑" w:eastAsia="文泉驿微米黑" w:hAnsi="文泉驿微米黑" w:cs="Helvetica Neue"/>
              <w:b/>
              <w:color w:val="000000"/>
            </w:rPr>
          </w:pPr>
          <w:hyperlink w:anchor="_miyzpr3va7oj">
            <w:r w:rsidRPr="00780196">
              <w:rPr>
                <w:rFonts w:ascii="文泉驿微米黑" w:eastAsia="文泉驿微米黑" w:hAnsi="文泉驿微米黑" w:cs="Helvetica Neue"/>
                <w:b/>
                <w:color w:val="000000"/>
              </w:rPr>
              <w:t>使用场景</w:t>
            </w:r>
          </w:hyperlink>
          <w:r w:rsidRPr="00780196">
            <w:rPr>
              <w:rFonts w:ascii="文泉驿微米黑" w:eastAsia="文泉驿微米黑" w:hAnsi="文泉驿微米黑" w:cs="Helvetica Neue"/>
              <w:b/>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_miyzpr3va7oj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color w:val="000000"/>
            </w:rPr>
            <w:t>8</w:t>
          </w:r>
          <w:r w:rsidRPr="00780196">
            <w:rPr>
              <w:rFonts w:ascii="文泉驿微米黑" w:eastAsia="文泉驿微米黑" w:hAnsi="文泉驿微米黑"/>
            </w:rPr>
            <w:fldChar w:fldCharType="end"/>
          </w:r>
        </w:p>
        <w:p w14:paraId="28E1078E" w14:textId="77777777" w:rsidR="006E5F0C" w:rsidRPr="00780196" w:rsidRDefault="00D2464C">
          <w:pPr>
            <w:tabs>
              <w:tab w:val="right" w:pos="9025"/>
            </w:tabs>
            <w:spacing w:before="60" w:line="240" w:lineRule="auto"/>
            <w:ind w:left="360"/>
            <w:rPr>
              <w:rFonts w:ascii="文泉驿微米黑" w:eastAsia="文泉驿微米黑" w:hAnsi="文泉驿微米黑" w:cs="Helvetica Neue"/>
              <w:color w:val="000000"/>
            </w:rPr>
          </w:pPr>
          <w:hyperlink w:anchor="_upme6xedqbbn">
            <w:r w:rsidRPr="00780196">
              <w:rPr>
                <w:rFonts w:ascii="文泉驿微米黑" w:eastAsia="文泉驿微米黑" w:hAnsi="文泉驿微米黑" w:cs="Helvetica Neue"/>
                <w:color w:val="000000"/>
              </w:rPr>
              <w:t xml:space="preserve">TiFlash </w:t>
            </w:r>
            <w:r w:rsidRPr="00780196">
              <w:rPr>
                <w:rFonts w:ascii="文泉驿微米黑" w:eastAsia="文泉驿微米黑" w:hAnsi="文泉驿微米黑" w:cs="Helvetica Neue"/>
                <w:color w:val="000000"/>
              </w:rPr>
              <w:t>高性能列式分析引擎</w:t>
            </w:r>
          </w:hyperlink>
          <w:r w:rsidRPr="00780196">
            <w:rPr>
              <w:rFonts w:ascii="文泉驿微米黑" w:eastAsia="文泉驿微米黑" w:hAnsi="文泉驿微米黑" w:cs="Helvetica Neue"/>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_upme6xedqbbn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color w:val="000000"/>
            </w:rPr>
            <w:t>9</w:t>
          </w:r>
          <w:r w:rsidRPr="00780196">
            <w:rPr>
              <w:rFonts w:ascii="文泉驿微米黑" w:eastAsia="文泉驿微米黑" w:hAnsi="文泉驿微米黑"/>
            </w:rPr>
            <w:fldChar w:fldCharType="end"/>
          </w:r>
        </w:p>
        <w:p w14:paraId="5BEBAE72" w14:textId="77777777" w:rsidR="006E5F0C" w:rsidRPr="00780196" w:rsidRDefault="00D2464C">
          <w:pPr>
            <w:tabs>
              <w:tab w:val="right" w:pos="9025"/>
            </w:tabs>
            <w:spacing w:before="200" w:after="80" w:line="240" w:lineRule="auto"/>
            <w:rPr>
              <w:rFonts w:ascii="文泉驿微米黑" w:eastAsia="文泉驿微米黑" w:hAnsi="文泉驿微米黑" w:cs="Helvetica Neue"/>
              <w:b/>
              <w:color w:val="000000"/>
            </w:rPr>
          </w:pPr>
          <w:hyperlink w:anchor="_opqggy2wvtg">
            <w:r w:rsidRPr="00780196">
              <w:rPr>
                <w:rFonts w:ascii="文泉驿微米黑" w:eastAsia="文泉驿微米黑" w:hAnsi="文泉驿微米黑" w:cs="Helvetica Neue"/>
                <w:b/>
                <w:color w:val="000000"/>
              </w:rPr>
              <w:t>基本概念</w:t>
            </w:r>
          </w:hyperlink>
          <w:r w:rsidRPr="00780196">
            <w:rPr>
              <w:rFonts w:ascii="文泉驿微米黑" w:eastAsia="文泉驿微米黑" w:hAnsi="文泉驿微米黑" w:cs="Helvetica Neue"/>
              <w:b/>
              <w:color w:val="000000"/>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_opqggy2wvtg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color w:val="000000"/>
            </w:rPr>
            <w:t>10</w:t>
          </w:r>
          <w:r w:rsidRPr="00780196">
            <w:rPr>
              <w:rFonts w:ascii="文泉驿微米黑" w:eastAsia="文泉驿微米黑" w:hAnsi="文泉驿微米黑"/>
            </w:rPr>
            <w:fldChar w:fldCharType="end"/>
          </w:r>
          <w:r w:rsidRPr="00780196">
            <w:rPr>
              <w:rFonts w:ascii="文泉驿微米黑" w:eastAsia="文泉驿微米黑" w:hAnsi="文泉驿微米黑"/>
            </w:rPr>
            <w:fldChar w:fldCharType="end"/>
          </w:r>
        </w:p>
      </w:sdtContent>
    </w:sdt>
    <w:p w14:paraId="7B903FC6"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rPr>
        <w:br w:type="page"/>
      </w:r>
    </w:p>
    <w:p w14:paraId="67EB9280" w14:textId="77777777" w:rsidR="006E5F0C" w:rsidRPr="00780196" w:rsidRDefault="00D2464C">
      <w:pPr>
        <w:pStyle w:val="1"/>
        <w:rPr>
          <w:rFonts w:ascii="文泉驿微米黑" w:eastAsia="文泉驿微米黑" w:hAnsi="文泉驿微米黑" w:cs="Helvetica Neue"/>
        </w:rPr>
      </w:pPr>
      <w:bookmarkStart w:id="7" w:name="_2zlaqoeqde6p" w:colFirst="0" w:colLast="0"/>
      <w:bookmarkEnd w:id="7"/>
      <w:r w:rsidRPr="00780196">
        <w:rPr>
          <w:rFonts w:ascii="文泉驿微米黑" w:eastAsia="文泉驿微米黑" w:hAnsi="文泉驿微米黑" w:cs="Arial Unicode MS"/>
        </w:rPr>
        <w:lastRenderedPageBreak/>
        <w:t xml:space="preserve">TiDB </w:t>
      </w:r>
      <w:r w:rsidRPr="00780196">
        <w:rPr>
          <w:rFonts w:ascii="文泉驿微米黑" w:eastAsia="文泉驿微米黑" w:hAnsi="文泉驿微米黑" w:cs="Arial Unicode MS"/>
        </w:rPr>
        <w:t>简介</w:t>
      </w:r>
    </w:p>
    <w:p w14:paraId="53603734" w14:textId="77777777" w:rsidR="006E5F0C" w:rsidRPr="00780196" w:rsidRDefault="006E5F0C">
      <w:pPr>
        <w:rPr>
          <w:rFonts w:ascii="文泉驿微米黑" w:eastAsia="文泉驿微米黑" w:hAnsi="文泉驿微米黑" w:cs="Helvetica Neue"/>
        </w:rPr>
      </w:pPr>
    </w:p>
    <w:p w14:paraId="2D32A5A7"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平凯星辰</w:t>
      </w:r>
      <w:r w:rsidRPr="00780196">
        <w:rPr>
          <w:rFonts w:ascii="文泉驿微米黑" w:eastAsia="文泉驿微米黑" w:hAnsi="文泉驿微米黑" w:cs="Arial Unicode MS"/>
          <w:sz w:val="24"/>
          <w:szCs w:val="24"/>
        </w:rPr>
        <w:t>（北京）科技有限公司（</w:t>
      </w:r>
      <w:r w:rsidRPr="00780196">
        <w:rPr>
          <w:rFonts w:ascii="文泉驿微米黑" w:eastAsia="文泉驿微米黑" w:hAnsi="文泉驿微米黑" w:cs="Arial Unicode MS"/>
          <w:sz w:val="24"/>
          <w:szCs w:val="24"/>
        </w:rPr>
        <w:t>PingCAP</w:t>
      </w:r>
      <w:r w:rsidRPr="00780196">
        <w:rPr>
          <w:rFonts w:ascii="文泉驿微米黑" w:eastAsia="文泉驿微米黑" w:hAnsi="文泉驿微米黑" w:cs="Arial Unicode MS"/>
          <w:sz w:val="24"/>
          <w:szCs w:val="24"/>
        </w:rPr>
        <w:t>）是一家企业级开源软件服务供应商，提供包括开源分布式数据库产品、解决方案及相关的咨询、支持与培训服务。致力于为用户打造稳定高效、安全可靠、开放兼容的新型数据基础设施，加速企业数字化转型升级。</w:t>
      </w:r>
    </w:p>
    <w:p w14:paraId="0B09B064"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Helvetica Neue"/>
          <w:sz w:val="24"/>
          <w:szCs w:val="24"/>
        </w:rPr>
        <w:t xml:space="preserve"> </w:t>
      </w:r>
    </w:p>
    <w:p w14:paraId="0DC0B310"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PingCAP </w:t>
      </w:r>
      <w:r w:rsidRPr="00780196">
        <w:rPr>
          <w:rFonts w:ascii="文泉驿微米黑" w:eastAsia="文泉驿微米黑" w:hAnsi="文泉驿微米黑" w:cs="Arial Unicode MS"/>
          <w:sz w:val="24"/>
          <w:szCs w:val="24"/>
        </w:rPr>
        <w:t>自主研发的开源分布式关系型数据库</w:t>
      </w:r>
      <w:r w:rsidRPr="00780196">
        <w:rPr>
          <w:rFonts w:ascii="文泉驿微米黑" w:eastAsia="文泉驿微米黑" w:hAnsi="文泉驿微米黑" w:cs="Arial Unicode MS"/>
          <w:sz w:val="24"/>
          <w:szCs w:val="24"/>
        </w:rPr>
        <w:t xml:space="preserve"> TiDB</w:t>
      </w:r>
      <w:r w:rsidRPr="00780196">
        <w:rPr>
          <w:rFonts w:ascii="文泉驿微米黑" w:eastAsia="文泉驿微米黑" w:hAnsi="文泉驿微米黑" w:cs="Arial Unicode MS"/>
          <w:sz w:val="24"/>
          <w:szCs w:val="24"/>
        </w:rPr>
        <w:t>，为企业关键业务打造，具备「分布式强一致性事务、在线弹性水平扩展、故障自恢复的高可用、</w:t>
      </w:r>
      <w:proofErr w:type="gramStart"/>
      <w:r w:rsidRPr="00780196">
        <w:rPr>
          <w:rFonts w:ascii="文泉驿微米黑" w:eastAsia="文泉驿微米黑" w:hAnsi="文泉驿微米黑" w:cs="Arial Unicode MS"/>
          <w:sz w:val="24"/>
          <w:szCs w:val="24"/>
        </w:rPr>
        <w:t>跨数据</w:t>
      </w:r>
      <w:proofErr w:type="gramEnd"/>
      <w:r w:rsidRPr="00780196">
        <w:rPr>
          <w:rFonts w:ascii="文泉驿微米黑" w:eastAsia="文泉驿微米黑" w:hAnsi="文泉驿微米黑" w:cs="Arial Unicode MS"/>
          <w:sz w:val="24"/>
          <w:szCs w:val="24"/>
        </w:rPr>
        <w:t>中心多活」等核心特性，助力企业最大化发挥数据价值，释放企业增长空间。</w:t>
      </w:r>
    </w:p>
    <w:p w14:paraId="34A23246"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Helvetica Neue"/>
          <w:sz w:val="24"/>
          <w:szCs w:val="24"/>
        </w:rPr>
        <w:t xml:space="preserve"> </w:t>
      </w:r>
    </w:p>
    <w:p w14:paraId="4D6F6984"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目前，</w:t>
      </w:r>
      <w:r w:rsidRPr="00780196">
        <w:rPr>
          <w:rFonts w:ascii="文泉驿微米黑" w:eastAsia="文泉驿微米黑" w:hAnsi="文泉驿微米黑" w:cs="Arial Unicode MS"/>
          <w:sz w:val="24"/>
          <w:szCs w:val="24"/>
        </w:rPr>
        <w:t xml:space="preserve">PingCAP  </w:t>
      </w:r>
      <w:r w:rsidRPr="00780196">
        <w:rPr>
          <w:rFonts w:ascii="文泉驿微米黑" w:eastAsia="文泉驿微米黑" w:hAnsi="文泉驿微米黑" w:cs="Arial Unicode MS"/>
          <w:sz w:val="24"/>
          <w:szCs w:val="24"/>
        </w:rPr>
        <w:t>已经向包括中国、美国、欧洲、日本、东南亚等国家和地区，超过</w:t>
      </w:r>
      <w:r w:rsidRPr="00780196">
        <w:rPr>
          <w:rFonts w:ascii="文泉驿微米黑" w:eastAsia="文泉驿微米黑" w:hAnsi="文泉驿微米黑" w:cs="Arial Unicode MS"/>
          <w:sz w:val="24"/>
          <w:szCs w:val="24"/>
        </w:rPr>
        <w:t xml:space="preserve"> 1500 </w:t>
      </w:r>
      <w:r w:rsidRPr="00780196">
        <w:rPr>
          <w:rFonts w:ascii="文泉驿微米黑" w:eastAsia="文泉驿微米黑" w:hAnsi="文泉驿微米黑" w:cs="Arial Unicode MS"/>
          <w:sz w:val="24"/>
          <w:szCs w:val="24"/>
        </w:rPr>
        <w:t>家企业提供服务，涉及金融、运营商、制造、零售、互联网、政府等多个行业。</w:t>
      </w:r>
    </w:p>
    <w:p w14:paraId="462FCEBC" w14:textId="77777777" w:rsidR="006E5F0C" w:rsidRPr="00780196" w:rsidRDefault="006E5F0C">
      <w:pPr>
        <w:widowControl w:val="0"/>
        <w:pBdr>
          <w:top w:val="nil"/>
          <w:left w:val="nil"/>
          <w:bottom w:val="nil"/>
          <w:right w:val="nil"/>
          <w:between w:val="nil"/>
        </w:pBdr>
        <w:spacing w:line="240" w:lineRule="auto"/>
        <w:jc w:val="both"/>
        <w:rPr>
          <w:rFonts w:ascii="文泉驿微米黑" w:eastAsia="文泉驿微米黑" w:hAnsi="文泉驿微米黑" w:cs="Helvetica Neue"/>
          <w:sz w:val="21"/>
          <w:szCs w:val="21"/>
        </w:rPr>
      </w:pPr>
    </w:p>
    <w:p w14:paraId="331ADDB6" w14:textId="77777777" w:rsidR="006E5F0C" w:rsidRPr="00780196" w:rsidRDefault="00D2464C">
      <w:pPr>
        <w:pStyle w:val="1"/>
        <w:rPr>
          <w:rFonts w:ascii="文泉驿微米黑" w:eastAsia="文泉驿微米黑" w:hAnsi="文泉驿微米黑" w:cs="Helvetica Neue"/>
        </w:rPr>
      </w:pPr>
      <w:bookmarkStart w:id="8" w:name="_wmib51i0ys7w" w:colFirst="0" w:colLast="0"/>
      <w:bookmarkEnd w:id="8"/>
      <w:r w:rsidRPr="00780196">
        <w:rPr>
          <w:rFonts w:ascii="文泉驿微米黑" w:eastAsia="文泉驿微米黑" w:hAnsi="文泉驿微米黑" w:cs="Arial Unicode MS"/>
        </w:rPr>
        <w:t>产品优势</w:t>
      </w:r>
    </w:p>
    <w:p w14:paraId="28B859AC" w14:textId="77777777" w:rsidR="006E5F0C" w:rsidRPr="00780196" w:rsidRDefault="00D2464C">
      <w:pPr>
        <w:pStyle w:val="2"/>
        <w:rPr>
          <w:rFonts w:ascii="文泉驿微米黑" w:eastAsia="文泉驿微米黑" w:hAnsi="文泉驿微米黑"/>
          <w:color w:val="000000"/>
        </w:rPr>
      </w:pPr>
      <w:bookmarkStart w:id="9" w:name="_qbflc7rpzlpd" w:colFirst="0" w:colLast="0"/>
      <w:bookmarkEnd w:id="9"/>
      <w:r w:rsidRPr="00780196">
        <w:rPr>
          <w:rFonts w:ascii="文泉驿微米黑" w:eastAsia="文泉驿微米黑" w:hAnsi="文泉驿微米黑" w:cs="Arial Unicode MS"/>
          <w:color w:val="000000"/>
        </w:rPr>
        <w:t>一键水平扩容或缩容</w:t>
      </w:r>
    </w:p>
    <w:p w14:paraId="4354EB0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得益于</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存储计算分离的架构设计，可按需对计算、存储分别进行在线扩容或者缩容，扩容或者缩容过程中对应用运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2BCA748B" w14:textId="77777777" w:rsidR="006E5F0C" w:rsidRPr="00780196" w:rsidRDefault="00D2464C">
      <w:pPr>
        <w:pStyle w:val="2"/>
        <w:rPr>
          <w:rFonts w:ascii="文泉驿微米黑" w:eastAsia="文泉驿微米黑" w:hAnsi="文泉驿微米黑"/>
          <w:color w:val="000000"/>
        </w:rPr>
      </w:pPr>
      <w:bookmarkStart w:id="10" w:name="_w1hy5az2ynsh" w:colFirst="0" w:colLast="0"/>
      <w:bookmarkEnd w:id="10"/>
      <w:proofErr w:type="gramStart"/>
      <w:r w:rsidRPr="00780196">
        <w:rPr>
          <w:rFonts w:ascii="文泉驿微米黑" w:eastAsia="文泉驿微米黑" w:hAnsi="文泉驿微米黑" w:cs="Arial Unicode MS"/>
          <w:color w:val="000000"/>
        </w:rPr>
        <w:t>金融级</w:t>
      </w:r>
      <w:proofErr w:type="gramEnd"/>
      <w:r w:rsidRPr="00780196">
        <w:rPr>
          <w:rFonts w:ascii="文泉驿微米黑" w:eastAsia="文泉驿微米黑" w:hAnsi="文泉驿微米黑" w:cs="Arial Unicode MS"/>
          <w:color w:val="000000"/>
        </w:rPr>
        <w:t>高可用</w:t>
      </w:r>
    </w:p>
    <w:p w14:paraId="10E5C706"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采用计算与存储分离的多副本存储，保证系统持续高可用。</w:t>
      </w:r>
    </w:p>
    <w:p w14:paraId="5A10F271"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数据副本通过</w:t>
      </w:r>
      <w:r w:rsidRPr="00780196">
        <w:rPr>
          <w:rFonts w:ascii="文泉驿微米黑" w:eastAsia="文泉驿微米黑" w:hAnsi="文泉驿微米黑" w:cs="Arial Unicode MS"/>
          <w:sz w:val="24"/>
          <w:szCs w:val="24"/>
        </w:rPr>
        <w:t xml:space="preserve"> Multi-Raft </w:t>
      </w:r>
      <w:r w:rsidRPr="00780196">
        <w:rPr>
          <w:rFonts w:ascii="文泉驿微米黑" w:eastAsia="文泉驿微米黑" w:hAnsi="文泉驿微米黑" w:cs="Arial Unicode MS"/>
          <w:sz w:val="24"/>
          <w:szCs w:val="24"/>
        </w:rPr>
        <w:t>协议同步事务日志，多数派写入成功事务才能提交，确保数据强一致性，且少数副本发生故障时不影响数据的可用性。</w:t>
      </w:r>
    </w:p>
    <w:p w14:paraId="5731BAE8"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可按需配置副本地理位置、副本数量等策略，满足不同容灾级别的要求，保证系统持续高可用。</w:t>
      </w:r>
    </w:p>
    <w:p w14:paraId="29DC38A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00769832" w14:textId="77777777" w:rsidR="006E5F0C" w:rsidRPr="00780196" w:rsidRDefault="00D2464C">
      <w:pPr>
        <w:pStyle w:val="2"/>
        <w:rPr>
          <w:rFonts w:ascii="文泉驿微米黑" w:eastAsia="文泉驿微米黑" w:hAnsi="文泉驿微米黑"/>
          <w:color w:val="000000"/>
        </w:rPr>
      </w:pPr>
      <w:bookmarkStart w:id="11" w:name="_k5g61v5pljwi" w:colFirst="0" w:colLast="0"/>
      <w:bookmarkEnd w:id="11"/>
      <w:r w:rsidRPr="00780196">
        <w:rPr>
          <w:rFonts w:ascii="文泉驿微米黑" w:eastAsia="文泉驿微米黑" w:hAnsi="文泉驿微米黑" w:cs="Arial Unicode MS"/>
          <w:color w:val="000000"/>
        </w:rPr>
        <w:t>实时</w:t>
      </w:r>
      <w:r w:rsidRPr="00780196">
        <w:rPr>
          <w:rFonts w:ascii="文泉驿微米黑" w:eastAsia="文泉驿微米黑" w:hAnsi="文泉驿微米黑" w:cs="Arial Unicode MS"/>
          <w:color w:val="000000"/>
        </w:rPr>
        <w:t xml:space="preserve"> HTAP</w:t>
      </w:r>
    </w:p>
    <w:p w14:paraId="60B95FB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和</w:t>
      </w:r>
      <w:r w:rsidRPr="00780196">
        <w:rPr>
          <w:rFonts w:ascii="文泉驿微米黑" w:eastAsia="文泉驿微米黑" w:hAnsi="文泉驿微米黑" w:cs="Arial Unicode MS"/>
          <w:sz w:val="24"/>
          <w:szCs w:val="24"/>
        </w:rPr>
        <w:t xml:space="preserve"> </w:t>
      </w:r>
      <w:r w:rsidRPr="00780196">
        <w:rPr>
          <w:rFonts w:ascii="文泉驿微米黑" w:eastAsia="文泉驿微米黑" w:hAnsi="文泉驿微米黑" w:cs="Arial Unicode MS"/>
          <w:sz w:val="24"/>
          <w:szCs w:val="24"/>
        </w:rPr>
        <w:t>列存储引擎</w:t>
      </w:r>
      <w:r w:rsidRPr="00780196">
        <w:rPr>
          <w:rFonts w:ascii="文泉驿微米黑" w:eastAsia="文泉驿微米黑" w:hAnsi="文泉驿微米黑" w:cs="Arial Unicode MS"/>
          <w:sz w:val="24"/>
          <w:szCs w:val="24"/>
        </w:rPr>
        <w:t xml:space="preserve"> TiFlash</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TiFlash</w:t>
      </w:r>
      <w:r w:rsidRPr="00780196">
        <w:rPr>
          <w:rFonts w:ascii="文泉驿微米黑" w:eastAsia="文泉驿微米黑" w:hAnsi="文泉驿微米黑" w:cs="Arial Unicode MS"/>
          <w:sz w:val="24"/>
          <w:szCs w:val="24"/>
        </w:rPr>
        <w:t xml:space="preserve"> </w:t>
      </w:r>
      <w:r w:rsidRPr="00780196">
        <w:rPr>
          <w:rFonts w:ascii="文泉驿微米黑" w:eastAsia="文泉驿微米黑" w:hAnsi="文泉驿微米黑" w:cs="Arial Unicode MS"/>
          <w:sz w:val="24"/>
          <w:szCs w:val="24"/>
        </w:rPr>
        <w:t>通过</w:t>
      </w:r>
      <w:r w:rsidRPr="00780196">
        <w:rPr>
          <w:rFonts w:ascii="文泉驿微米黑" w:eastAsia="文泉驿微米黑" w:hAnsi="文泉驿微米黑" w:cs="Arial Unicode MS"/>
          <w:sz w:val="24"/>
          <w:szCs w:val="24"/>
        </w:rPr>
        <w:t xml:space="preserve"> Multi-Raft Learner </w:t>
      </w:r>
      <w:r w:rsidRPr="00780196">
        <w:rPr>
          <w:rFonts w:ascii="文泉驿微米黑" w:eastAsia="文泉驿微米黑" w:hAnsi="文泉驿微米黑" w:cs="Arial Unicode MS"/>
          <w:sz w:val="24"/>
          <w:szCs w:val="24"/>
        </w:rPr>
        <w:t>协议实时从</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复制数据，保证二者之间数据强一致。</w:t>
      </w:r>
      <w:r w:rsidRPr="00780196">
        <w:rPr>
          <w:rFonts w:ascii="文泉驿微米黑" w:eastAsia="文泉驿微米黑" w:hAnsi="文泉驿微米黑" w:cs="Arial Unicode MS"/>
          <w:sz w:val="24"/>
          <w:szCs w:val="24"/>
        </w:rPr>
        <w:t xml:space="preserve">TiKV </w:t>
      </w:r>
      <w:r w:rsidRPr="00780196">
        <w:rPr>
          <w:rFonts w:ascii="文泉驿微米黑" w:eastAsia="文泉驿微米黑" w:hAnsi="文泉驿微米黑" w:cs="Arial Unicode MS"/>
          <w:sz w:val="24"/>
          <w:szCs w:val="24"/>
        </w:rPr>
        <w:t>和</w:t>
      </w:r>
      <w:r w:rsidRPr="00780196">
        <w:rPr>
          <w:rFonts w:ascii="文泉驿微米黑" w:eastAsia="文泉驿微米黑" w:hAnsi="文泉驿微米黑" w:cs="Arial Unicode MS"/>
          <w:sz w:val="24"/>
          <w:szCs w:val="24"/>
        </w:rPr>
        <w:t xml:space="preserve"> TiFlash </w:t>
      </w:r>
      <w:r w:rsidRPr="00780196">
        <w:rPr>
          <w:rFonts w:ascii="文泉驿微米黑" w:eastAsia="文泉驿微米黑" w:hAnsi="文泉驿微米黑" w:cs="Arial Unicode MS"/>
          <w:sz w:val="24"/>
          <w:szCs w:val="24"/>
        </w:rPr>
        <w:t>可按需部署在不同的机器，解决</w:t>
      </w:r>
      <w:r w:rsidRPr="00780196">
        <w:rPr>
          <w:rFonts w:ascii="文泉驿微米黑" w:eastAsia="文泉驿微米黑" w:hAnsi="文泉驿微米黑" w:cs="Arial Unicode MS"/>
          <w:sz w:val="24"/>
          <w:szCs w:val="24"/>
        </w:rPr>
        <w:t xml:space="preserve"> HTAP </w:t>
      </w:r>
      <w:r w:rsidRPr="00780196">
        <w:rPr>
          <w:rFonts w:ascii="文泉驿微米黑" w:eastAsia="文泉驿微米黑" w:hAnsi="文泉驿微米黑" w:cs="Arial Unicode MS"/>
          <w:sz w:val="24"/>
          <w:szCs w:val="24"/>
        </w:rPr>
        <w:t>资源隔离的问题。</w:t>
      </w:r>
    </w:p>
    <w:p w14:paraId="429B1B53"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3740489" w14:textId="77777777" w:rsidR="006E5F0C" w:rsidRPr="00780196" w:rsidRDefault="00D2464C">
      <w:pPr>
        <w:pStyle w:val="2"/>
        <w:rPr>
          <w:rFonts w:ascii="文泉驿微米黑" w:eastAsia="文泉驿微米黑" w:hAnsi="文泉驿微米黑"/>
          <w:color w:val="000000"/>
        </w:rPr>
      </w:pPr>
      <w:bookmarkStart w:id="12" w:name="_fgjwwpldqi5h" w:colFirst="0" w:colLast="0"/>
      <w:bookmarkEnd w:id="12"/>
      <w:r w:rsidRPr="00780196">
        <w:rPr>
          <w:rFonts w:ascii="文泉驿微米黑" w:eastAsia="文泉驿微米黑" w:hAnsi="文泉驿微米黑" w:cs="Arial Unicode MS"/>
          <w:color w:val="000000"/>
        </w:rPr>
        <w:t>高度兼容</w:t>
      </w:r>
      <w:r w:rsidRPr="00780196">
        <w:rPr>
          <w:rFonts w:ascii="文泉驿微米黑" w:eastAsia="文泉驿微米黑" w:hAnsi="文泉驿微米黑" w:cs="Arial Unicode MS"/>
          <w:color w:val="000000"/>
        </w:rPr>
        <w:t xml:space="preserve"> MySQL </w:t>
      </w:r>
      <w:r w:rsidRPr="00780196">
        <w:rPr>
          <w:rFonts w:ascii="文泉驿微米黑" w:eastAsia="文泉驿微米黑" w:hAnsi="文泉驿微米黑" w:cs="Arial Unicode MS"/>
          <w:color w:val="000000"/>
        </w:rPr>
        <w:t>及</w:t>
      </w:r>
      <w:r w:rsidRPr="00780196">
        <w:rPr>
          <w:rFonts w:ascii="文泉驿微米黑" w:eastAsia="文泉驿微米黑" w:hAnsi="文泉驿微米黑" w:cs="Arial Unicode MS"/>
          <w:color w:val="000000"/>
        </w:rPr>
        <w:t xml:space="preserve"> MySQL </w:t>
      </w:r>
      <w:r w:rsidRPr="00780196">
        <w:rPr>
          <w:rFonts w:ascii="文泉驿微米黑" w:eastAsia="文泉驿微米黑" w:hAnsi="文泉驿微米黑" w:cs="Arial Unicode MS"/>
          <w:color w:val="000000"/>
        </w:rPr>
        <w:t>生态</w:t>
      </w:r>
    </w:p>
    <w:p w14:paraId="24DEDD4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高度兼容</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及</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生态</w:t>
      </w:r>
      <w:r w:rsidRPr="00780196">
        <w:rPr>
          <w:rFonts w:ascii="文泉驿微米黑" w:eastAsia="文泉驿微米黑" w:hAnsi="文泉驿微米黑" w:cs="Arial Unicode MS"/>
          <w:sz w:val="24"/>
          <w:szCs w:val="24"/>
        </w:rPr>
        <w:t xml:space="preserve">, </w:t>
      </w:r>
      <w:r w:rsidRPr="00780196">
        <w:rPr>
          <w:rFonts w:ascii="文泉驿微米黑" w:eastAsia="文泉驿微米黑" w:hAnsi="文泉驿微米黑" w:cs="Arial Unicode MS"/>
          <w:sz w:val="24"/>
          <w:szCs w:val="24"/>
        </w:rPr>
        <w:t>应用无需或者修改少量代码即可从</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迁移到</w:t>
      </w:r>
      <w:r w:rsidRPr="00780196">
        <w:rPr>
          <w:rFonts w:ascii="文泉驿微米黑" w:eastAsia="文泉驿微米黑" w:hAnsi="文泉驿微米黑" w:cs="Arial Unicode MS"/>
          <w:sz w:val="24"/>
          <w:szCs w:val="24"/>
        </w:rPr>
        <w:t xml:space="preserve"> TiDB</w:t>
      </w:r>
      <w:r w:rsidRPr="00780196">
        <w:rPr>
          <w:rFonts w:ascii="文泉驿微米黑" w:eastAsia="文泉驿微米黑" w:hAnsi="文泉驿微米黑" w:cs="Arial Unicode MS"/>
          <w:sz w:val="24"/>
          <w:szCs w:val="24"/>
        </w:rPr>
        <w:t>。</w:t>
      </w:r>
    </w:p>
    <w:p w14:paraId="14DAC628"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w:t>
      </w:r>
      <w:r w:rsidRPr="00780196">
        <w:rPr>
          <w:rFonts w:ascii="文泉驿微米黑" w:eastAsia="文泉驿微米黑" w:hAnsi="文泉驿微米黑" w:cs="Arial Unicode MS"/>
          <w:sz w:val="24"/>
          <w:szCs w:val="24"/>
        </w:rPr>
        <w:t xml:space="preserve"> MySQL 5.7 </w:t>
      </w:r>
      <w:r w:rsidRPr="00780196">
        <w:rPr>
          <w:rFonts w:ascii="文泉驿微米黑" w:eastAsia="文泉驿微米黑" w:hAnsi="文泉驿微米黑" w:cs="Arial Unicode MS"/>
          <w:sz w:val="24"/>
          <w:szCs w:val="24"/>
        </w:rPr>
        <w:t>协议</w:t>
      </w:r>
    </w:p>
    <w:p w14:paraId="27F0A135"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常用功能</w:t>
      </w:r>
    </w:p>
    <w:p w14:paraId="55653C54"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生态</w:t>
      </w:r>
    </w:p>
    <w:p w14:paraId="27C846B2"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提供丰富的数据迁移工具帮助应用便捷完成从</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无缝迁移到</w:t>
      </w:r>
      <w:r w:rsidRPr="00780196">
        <w:rPr>
          <w:rFonts w:ascii="文泉驿微米黑" w:eastAsia="文泉驿微米黑" w:hAnsi="文泉驿微米黑" w:cs="Arial Unicode MS"/>
          <w:sz w:val="24"/>
          <w:szCs w:val="24"/>
        </w:rPr>
        <w:t xml:space="preserve"> TiDB</w:t>
      </w:r>
    </w:p>
    <w:p w14:paraId="494CEEE2"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2775343D" w14:textId="77777777" w:rsidR="006E5F0C" w:rsidRPr="00780196" w:rsidRDefault="00D2464C">
      <w:pPr>
        <w:pStyle w:val="2"/>
        <w:rPr>
          <w:rFonts w:ascii="文泉驿微米黑" w:eastAsia="文泉驿微米黑" w:hAnsi="文泉驿微米黑"/>
          <w:color w:val="000000"/>
        </w:rPr>
      </w:pPr>
      <w:bookmarkStart w:id="13" w:name="_4v34rt3im0x7" w:colFirst="0" w:colLast="0"/>
      <w:bookmarkEnd w:id="13"/>
      <w:r w:rsidRPr="00780196">
        <w:rPr>
          <w:rFonts w:ascii="文泉驿微米黑" w:eastAsia="文泉驿微米黑" w:hAnsi="文泉驿微米黑" w:cs="Arial Unicode MS"/>
          <w:color w:val="000000"/>
        </w:rPr>
        <w:t>云原</w:t>
      </w:r>
      <w:r w:rsidRPr="00780196">
        <w:rPr>
          <w:rFonts w:ascii="文泉驿微米黑" w:eastAsia="文泉驿微米黑" w:hAnsi="文泉驿微米黑" w:cs="Arial Unicode MS"/>
          <w:color w:val="000000"/>
        </w:rPr>
        <w:t>生的分布式数据库服务</w:t>
      </w:r>
    </w:p>
    <w:p w14:paraId="5661BD5C"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为出海用户提供云上托管的分布式数据库服务，支持亚马逊</w:t>
      </w:r>
      <w:r w:rsidRPr="00780196">
        <w:rPr>
          <w:rFonts w:ascii="文泉驿微米黑" w:eastAsia="文泉驿微米黑" w:hAnsi="文泉驿微米黑" w:cs="Arial Unicode MS"/>
          <w:sz w:val="24"/>
          <w:szCs w:val="24"/>
        </w:rPr>
        <w:t xml:space="preserve"> AWS </w:t>
      </w:r>
      <w:r w:rsidRPr="00780196">
        <w:rPr>
          <w:rFonts w:ascii="文泉驿微米黑" w:eastAsia="文泉驿微米黑" w:hAnsi="文泉驿微米黑" w:cs="Arial Unicode MS"/>
          <w:sz w:val="24"/>
          <w:szCs w:val="24"/>
        </w:rPr>
        <w:t>和</w:t>
      </w:r>
      <w:r w:rsidRPr="00780196">
        <w:rPr>
          <w:rFonts w:ascii="文泉驿微米黑" w:eastAsia="文泉驿微米黑" w:hAnsi="文泉驿微米黑" w:cs="Arial Unicode MS"/>
          <w:sz w:val="24"/>
          <w:szCs w:val="24"/>
        </w:rPr>
        <w:t xml:space="preserve"> Google Cloud </w:t>
      </w:r>
      <w:r w:rsidRPr="00780196">
        <w:rPr>
          <w:rFonts w:ascii="文泉驿微米黑" w:eastAsia="文泉驿微米黑" w:hAnsi="文泉驿微米黑" w:cs="Arial Unicode MS"/>
          <w:sz w:val="24"/>
          <w:szCs w:val="24"/>
        </w:rPr>
        <w:t>等主流云厂商，充分利用和考虑云平台的特性，实现按需使用、规模化扩展以及运维简化。</w:t>
      </w:r>
    </w:p>
    <w:p w14:paraId="7EAA4AE9"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在控制台简单点击即可部署和管理</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数据库集群，大大提升出海客户，尤其是初创公司的业务效率。</w:t>
      </w:r>
    </w:p>
    <w:p w14:paraId="6608BA56"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计算能力和存储容量可以分别独立扩展，适应更多样的业务需求。</w:t>
      </w:r>
    </w:p>
    <w:p w14:paraId="77E17272"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完整支持</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的功能特性，紧跟</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最新版本，为生产级别的</w:t>
      </w:r>
      <w:r w:rsidRPr="00780196">
        <w:rPr>
          <w:rFonts w:ascii="文泉驿微米黑" w:eastAsia="文泉驿微米黑" w:hAnsi="文泉驿微米黑" w:cs="Arial Unicode MS"/>
          <w:sz w:val="24"/>
          <w:szCs w:val="24"/>
        </w:rPr>
        <w:t xml:space="preserve"> OLTP </w:t>
      </w:r>
      <w:r w:rsidRPr="00780196">
        <w:rPr>
          <w:rFonts w:ascii="文泉驿微米黑" w:eastAsia="文泉驿微米黑" w:hAnsi="文泉驿微米黑" w:cs="Arial Unicode MS"/>
          <w:sz w:val="24"/>
          <w:szCs w:val="24"/>
        </w:rPr>
        <w:t>和</w:t>
      </w:r>
      <w:r w:rsidRPr="00780196">
        <w:rPr>
          <w:rFonts w:ascii="文泉驿微米黑" w:eastAsia="文泉驿微米黑" w:hAnsi="文泉驿微米黑" w:cs="Arial Unicode MS"/>
          <w:sz w:val="24"/>
          <w:szCs w:val="24"/>
        </w:rPr>
        <w:t xml:space="preserve"> OLAP </w:t>
      </w:r>
      <w:r w:rsidRPr="00780196">
        <w:rPr>
          <w:rFonts w:ascii="文泉驿微米黑" w:eastAsia="文泉驿微米黑" w:hAnsi="文泉驿微米黑" w:cs="Arial Unicode MS"/>
          <w:sz w:val="24"/>
          <w:szCs w:val="24"/>
        </w:rPr>
        <w:t>工作负载提供完整的</w:t>
      </w:r>
      <w:r w:rsidRPr="00780196">
        <w:rPr>
          <w:rFonts w:ascii="文泉驿微米黑" w:eastAsia="文泉驿微米黑" w:hAnsi="文泉驿微米黑" w:cs="Arial Unicode MS"/>
          <w:sz w:val="24"/>
          <w:szCs w:val="24"/>
        </w:rPr>
        <w:t xml:space="preserve"> HTAP </w:t>
      </w:r>
      <w:r w:rsidRPr="00780196">
        <w:rPr>
          <w:rFonts w:ascii="文泉驿微米黑" w:eastAsia="文泉驿微米黑" w:hAnsi="文泉驿微米黑" w:cs="Arial Unicode MS"/>
          <w:sz w:val="24"/>
          <w:szCs w:val="24"/>
        </w:rPr>
        <w:t>支持。</w:t>
      </w:r>
    </w:p>
    <w:p w14:paraId="1EF06D43"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通过专用的云主机、云上网络，以及企业级加密保障安全；通过跨</w:t>
      </w:r>
      <w:proofErr w:type="gramStart"/>
      <w:r w:rsidRPr="00780196">
        <w:rPr>
          <w:rFonts w:ascii="文泉驿微米黑" w:eastAsia="文泉驿微米黑" w:hAnsi="文泉驿微米黑" w:cs="Arial Unicode MS"/>
          <w:sz w:val="24"/>
          <w:szCs w:val="24"/>
        </w:rPr>
        <w:t>可用区</w:t>
      </w:r>
      <w:proofErr w:type="gramEnd"/>
      <w:r w:rsidRPr="00780196">
        <w:rPr>
          <w:rFonts w:ascii="文泉驿微米黑" w:eastAsia="文泉驿微米黑" w:hAnsi="文泉驿微米黑" w:cs="Arial Unicode MS"/>
          <w:sz w:val="24"/>
          <w:szCs w:val="24"/>
        </w:rPr>
        <w:t>的部署和备份策略保障高可用和高弹性。</w:t>
      </w:r>
    </w:p>
    <w:p w14:paraId="089C61E9" w14:textId="77777777" w:rsidR="006E5F0C" w:rsidRPr="00780196" w:rsidRDefault="006E5F0C">
      <w:pPr>
        <w:rPr>
          <w:rFonts w:ascii="文泉驿微米黑" w:eastAsia="文泉驿微米黑" w:hAnsi="文泉驿微米黑" w:cs="Helvetica Neue"/>
        </w:rPr>
        <w:sectPr w:rsidR="006E5F0C" w:rsidRPr="00780196">
          <w:pgSz w:w="11909" w:h="16834"/>
          <w:pgMar w:top="1440" w:right="1440" w:bottom="1440" w:left="1440" w:header="720" w:footer="720" w:gutter="0"/>
          <w:cols w:space="720"/>
        </w:sectPr>
      </w:pPr>
    </w:p>
    <w:p w14:paraId="7264CE74" w14:textId="77777777" w:rsidR="006E5F0C" w:rsidRPr="00780196" w:rsidRDefault="00D2464C">
      <w:pPr>
        <w:pStyle w:val="1"/>
        <w:rPr>
          <w:rFonts w:ascii="文泉驿微米黑" w:eastAsia="文泉驿微米黑" w:hAnsi="文泉驿微米黑" w:cs="Helvetica Neue"/>
        </w:rPr>
      </w:pPr>
      <w:bookmarkStart w:id="14" w:name="_nnit5wh8aeee" w:colFirst="0" w:colLast="0"/>
      <w:bookmarkEnd w:id="14"/>
      <w:r w:rsidRPr="00780196">
        <w:rPr>
          <w:rFonts w:ascii="文泉驿微米黑" w:eastAsia="文泉驿微米黑" w:hAnsi="文泉驿微米黑" w:cs="Arial Unicode MS"/>
        </w:rPr>
        <w:lastRenderedPageBreak/>
        <w:t>产品架构</w:t>
      </w:r>
    </w:p>
    <w:p w14:paraId="20513BC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在内核设计上，</w:t>
      </w:r>
      <w:r w:rsidRPr="00780196">
        <w:rPr>
          <w:rFonts w:ascii="文泉驿微米黑" w:eastAsia="文泉驿微米黑" w:hAnsi="文泉驿微米黑" w:cs="Arial Unicode MS"/>
          <w:sz w:val="24"/>
          <w:szCs w:val="24"/>
        </w:rPr>
        <w:t xml:space="preserve">TiDB </w:t>
      </w:r>
      <w:r w:rsidRPr="00780196">
        <w:rPr>
          <w:rFonts w:ascii="文泉驿微米黑" w:eastAsia="文泉驿微米黑" w:hAnsi="文泉驿微米黑" w:cs="Arial Unicode MS"/>
          <w:sz w:val="24"/>
          <w:szCs w:val="24"/>
        </w:rPr>
        <w:t>分布式数据库将整体架构拆分成了多个模块，各模块之间互相通信，组成完整的</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系统。对应的架构图如下图所示。</w:t>
      </w:r>
    </w:p>
    <w:p w14:paraId="676F93C4"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3E84A8CF" w14:textId="77777777" w:rsidR="006E5F0C" w:rsidRPr="00780196" w:rsidRDefault="00D2464C">
      <w:pPr>
        <w:widowControl w:val="0"/>
        <w:spacing w:line="240" w:lineRule="auto"/>
        <w:jc w:val="both"/>
        <w:rPr>
          <w:rFonts w:ascii="文泉驿微米黑" w:eastAsia="文泉驿微米黑" w:hAnsi="文泉驿微米黑" w:cs="Helvetica Neue"/>
          <w:sz w:val="21"/>
          <w:szCs w:val="21"/>
        </w:rPr>
      </w:pPr>
      <w:r w:rsidRPr="00780196">
        <w:rPr>
          <w:rFonts w:ascii="文泉驿微米黑" w:eastAsia="文泉驿微米黑" w:hAnsi="文泉驿微米黑" w:cs="Helvetica Neue"/>
          <w:noProof/>
          <w:sz w:val="21"/>
          <w:szCs w:val="21"/>
        </w:rPr>
        <w:drawing>
          <wp:inline distT="114300" distB="114300" distL="114300" distR="114300" wp14:anchorId="3E798463" wp14:editId="56D8AB38">
            <wp:extent cx="5731200" cy="299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31200" cy="2997200"/>
                    </a:xfrm>
                    <a:prstGeom prst="rect">
                      <a:avLst/>
                    </a:prstGeom>
                    <a:ln/>
                  </pic:spPr>
                </pic:pic>
              </a:graphicData>
            </a:graphic>
          </wp:inline>
        </w:drawing>
      </w:r>
    </w:p>
    <w:p w14:paraId="024CE88A"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5B81B9B7" w14:textId="77777777" w:rsidR="006E5F0C" w:rsidRPr="00780196" w:rsidRDefault="00D2464C">
      <w:pPr>
        <w:pStyle w:val="2"/>
        <w:widowControl w:val="0"/>
        <w:jc w:val="both"/>
        <w:rPr>
          <w:rFonts w:ascii="文泉驿微米黑" w:eastAsia="文泉驿微米黑" w:hAnsi="文泉驿微米黑"/>
        </w:rPr>
      </w:pPr>
      <w:bookmarkStart w:id="15" w:name="_nce58efdmxbl" w:colFirst="0" w:colLast="0"/>
      <w:bookmarkEnd w:id="15"/>
      <w:r w:rsidRPr="00780196">
        <w:rPr>
          <w:rFonts w:ascii="文泉驿微米黑" w:eastAsia="文泉驿微米黑" w:hAnsi="文泉驿微米黑" w:cs="Arial Unicode MS"/>
        </w:rPr>
        <w:t xml:space="preserve">SQL </w:t>
      </w:r>
      <w:r w:rsidRPr="00780196">
        <w:rPr>
          <w:rFonts w:ascii="文泉驿微米黑" w:eastAsia="文泉驿微米黑" w:hAnsi="文泉驿微米黑" w:cs="Arial Unicode MS"/>
        </w:rPr>
        <w:t>解析模块</w:t>
      </w:r>
      <w:r w:rsidRPr="00780196">
        <w:rPr>
          <w:rFonts w:ascii="文泉驿微米黑" w:eastAsia="文泉驿微米黑" w:hAnsi="文泉驿微米黑" w:cs="Arial Unicode MS"/>
        </w:rPr>
        <w:t xml:space="preserve"> </w:t>
      </w:r>
      <w:r w:rsidRPr="00780196">
        <w:rPr>
          <w:rFonts w:ascii="文泉驿微米黑" w:eastAsia="文泉驿微米黑" w:hAnsi="文泉驿微米黑"/>
        </w:rPr>
        <w:t>TiDB Server</w:t>
      </w:r>
    </w:p>
    <w:p w14:paraId="1ABE9B8B"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1D61E9D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SQL </w:t>
      </w:r>
      <w:r w:rsidRPr="00780196">
        <w:rPr>
          <w:rFonts w:ascii="文泉驿微米黑" w:eastAsia="文泉驿微米黑" w:hAnsi="文泉驿微米黑" w:cs="Arial Unicode MS"/>
          <w:sz w:val="24"/>
          <w:szCs w:val="24"/>
        </w:rPr>
        <w:t>层，对外暴露</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协议的连接</w:t>
      </w:r>
      <w:r w:rsidRPr="00780196">
        <w:rPr>
          <w:rFonts w:ascii="文泉驿微米黑" w:eastAsia="文泉驿微米黑" w:hAnsi="文泉驿微米黑" w:cs="Arial Unicode MS"/>
          <w:sz w:val="24"/>
          <w:szCs w:val="24"/>
        </w:rPr>
        <w:t xml:space="preserve"> endpoint</w:t>
      </w:r>
      <w:r w:rsidRPr="00780196">
        <w:rPr>
          <w:rFonts w:ascii="文泉驿微米黑" w:eastAsia="文泉驿微米黑" w:hAnsi="文泉驿微米黑" w:cs="Arial Unicode MS"/>
          <w:sz w:val="24"/>
          <w:szCs w:val="24"/>
        </w:rPr>
        <w:t>，负责接受客户端的连接，执行</w:t>
      </w:r>
      <w:r w:rsidRPr="00780196">
        <w:rPr>
          <w:rFonts w:ascii="文泉驿微米黑" w:eastAsia="文泉驿微米黑" w:hAnsi="文泉驿微米黑" w:cs="Arial Unicode MS"/>
          <w:sz w:val="24"/>
          <w:szCs w:val="24"/>
        </w:rPr>
        <w:t xml:space="preserve"> SQL </w:t>
      </w:r>
      <w:r w:rsidRPr="00780196">
        <w:rPr>
          <w:rFonts w:ascii="文泉驿微米黑" w:eastAsia="文泉驿微米黑" w:hAnsi="文泉驿微米黑" w:cs="Arial Unicode MS"/>
          <w:sz w:val="24"/>
          <w:szCs w:val="24"/>
        </w:rPr>
        <w:t>解析和优化，最终生成分布式执行计划。</w:t>
      </w:r>
      <w:r w:rsidRPr="00780196">
        <w:rPr>
          <w:rFonts w:ascii="文泉驿微米黑" w:eastAsia="文泉驿微米黑" w:hAnsi="文泉驿微米黑" w:cs="Arial Unicode MS"/>
          <w:sz w:val="24"/>
          <w:szCs w:val="24"/>
        </w:rPr>
        <w:t xml:space="preserve">TiDB </w:t>
      </w:r>
      <w:proofErr w:type="gramStart"/>
      <w:r w:rsidRPr="00780196">
        <w:rPr>
          <w:rFonts w:ascii="文泉驿微米黑" w:eastAsia="文泉驿微米黑" w:hAnsi="文泉驿微米黑" w:cs="Arial Unicode MS"/>
          <w:sz w:val="24"/>
          <w:szCs w:val="24"/>
        </w:rPr>
        <w:t>层本身</w:t>
      </w:r>
      <w:proofErr w:type="gramEnd"/>
      <w:r w:rsidRPr="00780196">
        <w:rPr>
          <w:rFonts w:ascii="文泉驿微米黑" w:eastAsia="文泉驿微米黑" w:hAnsi="文泉驿微米黑" w:cs="Arial Unicode MS"/>
          <w:sz w:val="24"/>
          <w:szCs w:val="24"/>
        </w:rPr>
        <w:t>是无状态的，实践中可以启动多个</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实例，通过负载均衡组件（如</w:t>
      </w:r>
      <w:r w:rsidRPr="00780196">
        <w:rPr>
          <w:rFonts w:ascii="文泉驿微米黑" w:eastAsia="文泉驿微米黑" w:hAnsi="文泉驿微米黑" w:cs="Arial Unicode MS"/>
          <w:sz w:val="24"/>
          <w:szCs w:val="24"/>
        </w:rPr>
        <w:t xml:space="preserve"> LVS</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 xml:space="preserve">HAProxy </w:t>
      </w:r>
      <w:r w:rsidRPr="00780196">
        <w:rPr>
          <w:rFonts w:ascii="文泉驿微米黑" w:eastAsia="文泉驿微米黑" w:hAnsi="文泉驿微米黑" w:cs="Arial Unicode MS"/>
          <w:sz w:val="24"/>
          <w:szCs w:val="24"/>
        </w:rPr>
        <w:t>或</w:t>
      </w:r>
      <w:r w:rsidRPr="00780196">
        <w:rPr>
          <w:rFonts w:ascii="文泉驿微米黑" w:eastAsia="文泉驿微米黑" w:hAnsi="文泉驿微米黑" w:cs="Arial Unicode MS"/>
          <w:sz w:val="24"/>
          <w:szCs w:val="24"/>
        </w:rPr>
        <w:t xml:space="preserve"> F5</w:t>
      </w:r>
      <w:r w:rsidRPr="00780196">
        <w:rPr>
          <w:rFonts w:ascii="文泉驿微米黑" w:eastAsia="文泉驿微米黑" w:hAnsi="文泉驿微米黑" w:cs="Arial Unicode MS"/>
          <w:sz w:val="24"/>
          <w:szCs w:val="24"/>
        </w:rPr>
        <w:t>）对外提供统一的接入地址，客户端的连接可以均匀地分摊在多个</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实例上以达到负载均衡的效果。</w:t>
      </w:r>
      <w:r w:rsidRPr="00780196">
        <w:rPr>
          <w:rFonts w:ascii="文泉驿微米黑" w:eastAsia="文泉驿微米黑" w:hAnsi="文泉驿微米黑" w:cs="Arial Unicode MS"/>
          <w:sz w:val="24"/>
          <w:szCs w:val="24"/>
        </w:rPr>
        <w:t xml:space="preserve">TiDB Server </w:t>
      </w:r>
      <w:r w:rsidRPr="00780196">
        <w:rPr>
          <w:rFonts w:ascii="文泉驿微米黑" w:eastAsia="文泉驿微米黑" w:hAnsi="文泉驿微米黑" w:cs="Arial Unicode MS"/>
          <w:sz w:val="24"/>
          <w:szCs w:val="24"/>
        </w:rPr>
        <w:t>本身并不存储数据，只是解析</w:t>
      </w:r>
      <w:r w:rsidRPr="00780196">
        <w:rPr>
          <w:rFonts w:ascii="文泉驿微米黑" w:eastAsia="文泉驿微米黑" w:hAnsi="文泉驿微米黑" w:cs="Arial Unicode MS"/>
          <w:sz w:val="24"/>
          <w:szCs w:val="24"/>
        </w:rPr>
        <w:t xml:space="preserve"> SQL</w:t>
      </w:r>
      <w:r w:rsidRPr="00780196">
        <w:rPr>
          <w:rFonts w:ascii="文泉驿微米黑" w:eastAsia="文泉驿微米黑" w:hAnsi="文泉驿微米黑" w:cs="Arial Unicode MS"/>
          <w:sz w:val="24"/>
          <w:szCs w:val="24"/>
        </w:rPr>
        <w:t>，将实际的数据读取请求转发给底层的存储节点</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或</w:t>
      </w:r>
      <w:r w:rsidRPr="00780196">
        <w:rPr>
          <w:rFonts w:ascii="文泉驿微米黑" w:eastAsia="文泉驿微米黑" w:hAnsi="文泉驿微米黑" w:cs="Arial Unicode MS"/>
          <w:sz w:val="24"/>
          <w:szCs w:val="24"/>
        </w:rPr>
        <w:t xml:space="preserve"> TiFlash</w:t>
      </w:r>
      <w:r w:rsidRPr="00780196">
        <w:rPr>
          <w:rFonts w:ascii="文泉驿微米黑" w:eastAsia="文泉驿微米黑" w:hAnsi="文泉驿微米黑" w:cs="Arial Unicode MS"/>
          <w:sz w:val="24"/>
          <w:szCs w:val="24"/>
        </w:rPr>
        <w:t>。</w:t>
      </w:r>
    </w:p>
    <w:p w14:paraId="50553F8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717367D2" w14:textId="77777777" w:rsidR="006E5F0C" w:rsidRPr="00780196" w:rsidRDefault="00D2464C">
      <w:pPr>
        <w:pStyle w:val="2"/>
        <w:widowControl w:val="0"/>
        <w:jc w:val="both"/>
        <w:rPr>
          <w:rFonts w:ascii="文泉驿微米黑" w:eastAsia="文泉驿微米黑" w:hAnsi="文泉驿微米黑"/>
        </w:rPr>
      </w:pPr>
      <w:bookmarkStart w:id="16" w:name="_kfe6pwqtr4f5" w:colFirst="0" w:colLast="0"/>
      <w:bookmarkEnd w:id="16"/>
      <w:r w:rsidRPr="00780196">
        <w:rPr>
          <w:rFonts w:ascii="文泉驿微米黑" w:eastAsia="文泉驿微米黑" w:hAnsi="文泉驿微米黑" w:cs="Arial Unicode MS"/>
        </w:rPr>
        <w:t>元信息管理模块</w:t>
      </w:r>
      <w:r w:rsidRPr="00780196">
        <w:rPr>
          <w:rFonts w:ascii="文泉驿微米黑" w:eastAsia="文泉驿微米黑" w:hAnsi="文泉驿微米黑" w:cs="Arial Unicode MS"/>
        </w:rPr>
        <w:t xml:space="preserve"> </w:t>
      </w:r>
      <w:r w:rsidRPr="00780196">
        <w:rPr>
          <w:rFonts w:ascii="文泉驿微米黑" w:eastAsia="文泉驿微米黑" w:hAnsi="文泉驿微米黑"/>
        </w:rPr>
        <w:t>PD (</w:t>
      </w:r>
      <w:r w:rsidRPr="00780196">
        <w:rPr>
          <w:rFonts w:ascii="文泉驿微米黑" w:eastAsia="文泉驿微米黑" w:hAnsi="文泉驿微米黑"/>
        </w:rPr>
        <w:t>Placement Driver) Server</w:t>
      </w:r>
    </w:p>
    <w:p w14:paraId="7362E98F"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4A6FFF9"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整个</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集群的元信息管理模块，负责存储每个</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节点实时的数据分布情况和集群的整体拓扑结构，提供</w:t>
      </w:r>
      <w:r w:rsidRPr="00780196">
        <w:rPr>
          <w:rFonts w:ascii="文泉驿微米黑" w:eastAsia="文泉驿微米黑" w:hAnsi="文泉驿微米黑" w:cs="Arial Unicode MS"/>
          <w:sz w:val="24"/>
          <w:szCs w:val="24"/>
        </w:rPr>
        <w:t xml:space="preserve"> TiDB Dashboard </w:t>
      </w:r>
      <w:r w:rsidRPr="00780196">
        <w:rPr>
          <w:rFonts w:ascii="文泉驿微米黑" w:eastAsia="文泉驿微米黑" w:hAnsi="文泉驿微米黑" w:cs="Arial Unicode MS"/>
          <w:sz w:val="24"/>
          <w:szCs w:val="24"/>
        </w:rPr>
        <w:t>管控界面，并为分布式事务分配事务</w:t>
      </w:r>
      <w:r w:rsidRPr="00780196">
        <w:rPr>
          <w:rFonts w:ascii="文泉驿微米黑" w:eastAsia="文泉驿微米黑" w:hAnsi="文泉驿微米黑" w:cs="Arial Unicode MS"/>
          <w:sz w:val="24"/>
          <w:szCs w:val="24"/>
        </w:rPr>
        <w:t xml:space="preserve"> ID</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 xml:space="preserve">PD </w:t>
      </w:r>
      <w:r w:rsidRPr="00780196">
        <w:rPr>
          <w:rFonts w:ascii="文泉驿微米黑" w:eastAsia="文泉驿微米黑" w:hAnsi="文泉驿微米黑" w:cs="Arial Unicode MS"/>
          <w:sz w:val="24"/>
          <w:szCs w:val="24"/>
        </w:rPr>
        <w:t>不仅存储元信息，同时还会根据</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节点实时上报的数据分布状态，下发数据调度</w:t>
      </w:r>
      <w:r w:rsidRPr="00780196">
        <w:rPr>
          <w:rFonts w:ascii="文泉驿微米黑" w:eastAsia="文泉驿微米黑" w:hAnsi="文泉驿微米黑" w:cs="Arial Unicode MS"/>
          <w:sz w:val="24"/>
          <w:szCs w:val="24"/>
        </w:rPr>
        <w:lastRenderedPageBreak/>
        <w:t>命令给具体的</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节点，可以说是整个集群的</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大脑</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。此外，</w:t>
      </w:r>
      <w:r w:rsidRPr="00780196">
        <w:rPr>
          <w:rFonts w:ascii="文泉驿微米黑" w:eastAsia="文泉驿微米黑" w:hAnsi="文泉驿微米黑" w:cs="Arial Unicode MS"/>
          <w:sz w:val="24"/>
          <w:szCs w:val="24"/>
        </w:rPr>
        <w:t xml:space="preserve">PD </w:t>
      </w:r>
      <w:r w:rsidRPr="00780196">
        <w:rPr>
          <w:rFonts w:ascii="文泉驿微米黑" w:eastAsia="文泉驿微米黑" w:hAnsi="文泉驿微米黑" w:cs="Arial Unicode MS"/>
          <w:sz w:val="24"/>
          <w:szCs w:val="24"/>
        </w:rPr>
        <w:t>本身也是由至少</w:t>
      </w:r>
      <w:r w:rsidRPr="00780196">
        <w:rPr>
          <w:rFonts w:ascii="文泉驿微米黑" w:eastAsia="文泉驿微米黑" w:hAnsi="文泉驿微米黑" w:cs="Arial Unicode MS"/>
          <w:sz w:val="24"/>
          <w:szCs w:val="24"/>
        </w:rPr>
        <w:t xml:space="preserve"> 3 </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节点构成，拥有高可用的能力。建议部署奇数</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 xml:space="preserve"> PD </w:t>
      </w:r>
      <w:r w:rsidRPr="00780196">
        <w:rPr>
          <w:rFonts w:ascii="文泉驿微米黑" w:eastAsia="文泉驿微米黑" w:hAnsi="文泉驿微米黑" w:cs="Arial Unicode MS"/>
          <w:sz w:val="24"/>
          <w:szCs w:val="24"/>
        </w:rPr>
        <w:t>节点。</w:t>
      </w:r>
    </w:p>
    <w:p w14:paraId="05B6B207"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CD85D5B" w14:textId="77777777" w:rsidR="006E5F0C" w:rsidRPr="00780196" w:rsidRDefault="00D2464C">
      <w:pPr>
        <w:pStyle w:val="2"/>
        <w:widowControl w:val="0"/>
        <w:jc w:val="both"/>
        <w:rPr>
          <w:rFonts w:ascii="文泉驿微米黑" w:eastAsia="文泉驿微米黑" w:hAnsi="文泉驿微米黑"/>
        </w:rPr>
      </w:pPr>
      <w:bookmarkStart w:id="17" w:name="_ml4tidwmdnoa" w:colFirst="0" w:colLast="0"/>
      <w:bookmarkEnd w:id="17"/>
      <w:r w:rsidRPr="00780196">
        <w:rPr>
          <w:rFonts w:ascii="文泉驿微米黑" w:eastAsia="文泉驿微米黑" w:hAnsi="文泉驿微米黑" w:cs="Arial Unicode MS"/>
        </w:rPr>
        <w:t>存储引擎</w:t>
      </w:r>
      <w:r w:rsidRPr="00780196">
        <w:rPr>
          <w:rFonts w:ascii="文泉驿微米黑" w:eastAsia="文泉驿微米黑" w:hAnsi="文泉驿微米黑" w:cs="Arial Unicode MS"/>
        </w:rPr>
        <w:t xml:space="preserve"> TiKV </w:t>
      </w:r>
      <w:r w:rsidRPr="00780196">
        <w:rPr>
          <w:rFonts w:ascii="文泉驿微米黑" w:eastAsia="文泉驿微米黑" w:hAnsi="文泉驿微米黑" w:cs="Arial Unicode MS"/>
        </w:rPr>
        <w:t>和</w:t>
      </w:r>
      <w:r w:rsidRPr="00780196">
        <w:rPr>
          <w:rFonts w:ascii="文泉驿微米黑" w:eastAsia="文泉驿微米黑" w:hAnsi="文泉驿微米黑" w:cs="Arial Unicode MS"/>
        </w:rPr>
        <w:t xml:space="preserve"> TiFlash</w:t>
      </w:r>
    </w:p>
    <w:p w14:paraId="23824959"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8449447"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和</w:t>
      </w:r>
      <w:r w:rsidRPr="00780196">
        <w:rPr>
          <w:rFonts w:ascii="文泉驿微米黑" w:eastAsia="文泉驿微米黑" w:hAnsi="文泉驿微米黑" w:cs="Arial Unicode MS"/>
          <w:sz w:val="24"/>
          <w:szCs w:val="24"/>
        </w:rPr>
        <w:t xml:space="preserve"> </w:t>
      </w:r>
      <w:r w:rsidRPr="00780196">
        <w:rPr>
          <w:rFonts w:ascii="文泉驿微米黑" w:eastAsia="文泉驿微米黑" w:hAnsi="文泉驿微米黑" w:cs="Arial Unicode MS"/>
          <w:sz w:val="24"/>
          <w:szCs w:val="24"/>
        </w:rPr>
        <w:t>列存储引擎</w:t>
      </w:r>
      <w:r w:rsidRPr="00780196">
        <w:rPr>
          <w:rFonts w:ascii="文泉驿微米黑" w:eastAsia="文泉驿微米黑" w:hAnsi="文泉驿微米黑" w:cs="Arial Unicode MS"/>
          <w:sz w:val="24"/>
          <w:szCs w:val="24"/>
        </w:rPr>
        <w:t xml:space="preserve"> TiFlash</w:t>
      </w:r>
      <w:r w:rsidRPr="00780196">
        <w:rPr>
          <w:rFonts w:ascii="文泉驿微米黑" w:eastAsia="文泉驿微米黑" w:hAnsi="文泉驿微米黑" w:cs="Arial Unicode MS"/>
          <w:sz w:val="24"/>
          <w:szCs w:val="24"/>
        </w:rPr>
        <w:t>。</w:t>
      </w:r>
    </w:p>
    <w:p w14:paraId="59F9436E"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A9CB26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TiKV Server</w:t>
      </w:r>
      <w:r w:rsidRPr="00780196">
        <w:rPr>
          <w:rFonts w:ascii="文泉驿微米黑" w:eastAsia="文泉驿微米黑" w:hAnsi="文泉驿微米黑" w:cs="Arial Unicode MS"/>
          <w:sz w:val="24"/>
          <w:szCs w:val="24"/>
        </w:rPr>
        <w:t>：负责存储数据，从外部看</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是一个分布式的提供事务的</w:t>
      </w:r>
      <w:r w:rsidRPr="00780196">
        <w:rPr>
          <w:rFonts w:ascii="文泉驿微米黑" w:eastAsia="文泉驿微米黑" w:hAnsi="文泉驿微米黑" w:cs="Arial Unicode MS"/>
          <w:sz w:val="24"/>
          <w:szCs w:val="24"/>
        </w:rPr>
        <w:t xml:space="preserve"> Key-Value </w:t>
      </w:r>
      <w:r w:rsidRPr="00780196">
        <w:rPr>
          <w:rFonts w:ascii="文泉驿微米黑" w:eastAsia="文泉驿微米黑" w:hAnsi="文泉驿微米黑" w:cs="Arial Unicode MS"/>
          <w:sz w:val="24"/>
          <w:szCs w:val="24"/>
        </w:rPr>
        <w:t>存储引擎。存储数据的基本单位是</w:t>
      </w:r>
      <w:r w:rsidRPr="00780196">
        <w:rPr>
          <w:rFonts w:ascii="文泉驿微米黑" w:eastAsia="文泉驿微米黑" w:hAnsi="文泉驿微米黑" w:cs="Arial Unicode MS"/>
          <w:sz w:val="24"/>
          <w:szCs w:val="24"/>
        </w:rPr>
        <w:t xml:space="preserve"> Region</w:t>
      </w:r>
      <w:r w:rsidRPr="00780196">
        <w:rPr>
          <w:rFonts w:ascii="文泉驿微米黑" w:eastAsia="文泉驿微米黑" w:hAnsi="文泉驿微米黑" w:cs="Arial Unicode MS"/>
          <w:sz w:val="24"/>
          <w:szCs w:val="24"/>
        </w:rPr>
        <w:t>，每个</w:t>
      </w:r>
      <w:r w:rsidRPr="00780196">
        <w:rPr>
          <w:rFonts w:ascii="文泉驿微米黑" w:eastAsia="文泉驿微米黑" w:hAnsi="文泉驿微米黑" w:cs="Arial Unicode MS"/>
          <w:sz w:val="24"/>
          <w:szCs w:val="24"/>
        </w:rPr>
        <w:t xml:space="preserve"> Region </w:t>
      </w:r>
      <w:r w:rsidRPr="00780196">
        <w:rPr>
          <w:rFonts w:ascii="文泉驿微米黑" w:eastAsia="文泉驿微米黑" w:hAnsi="文泉驿微米黑" w:cs="Arial Unicode MS"/>
          <w:sz w:val="24"/>
          <w:szCs w:val="24"/>
        </w:rPr>
        <w:t>负责存储一个</w:t>
      </w:r>
      <w:r w:rsidRPr="00780196">
        <w:rPr>
          <w:rFonts w:ascii="文泉驿微米黑" w:eastAsia="文泉驿微米黑" w:hAnsi="文泉驿微米黑" w:cs="Arial Unicode MS"/>
          <w:sz w:val="24"/>
          <w:szCs w:val="24"/>
        </w:rPr>
        <w:t xml:space="preserve"> Key Range</w:t>
      </w:r>
      <w:r w:rsidRPr="00780196">
        <w:rPr>
          <w:rFonts w:ascii="文泉驿微米黑" w:eastAsia="文泉驿微米黑" w:hAnsi="文泉驿微米黑" w:cs="Arial Unicode MS"/>
          <w:sz w:val="24"/>
          <w:szCs w:val="24"/>
        </w:rPr>
        <w:t>（从</w:t>
      </w:r>
      <w:r w:rsidRPr="00780196">
        <w:rPr>
          <w:rFonts w:ascii="文泉驿微米黑" w:eastAsia="文泉驿微米黑" w:hAnsi="文泉驿微米黑" w:cs="Arial Unicode MS"/>
          <w:sz w:val="24"/>
          <w:szCs w:val="24"/>
        </w:rPr>
        <w:t xml:space="preserve"> StartKey </w:t>
      </w:r>
      <w:r w:rsidRPr="00780196">
        <w:rPr>
          <w:rFonts w:ascii="文泉驿微米黑" w:eastAsia="文泉驿微米黑" w:hAnsi="文泉驿微米黑" w:cs="Arial Unicode MS"/>
          <w:sz w:val="24"/>
          <w:szCs w:val="24"/>
        </w:rPr>
        <w:t>到</w:t>
      </w:r>
      <w:r w:rsidRPr="00780196">
        <w:rPr>
          <w:rFonts w:ascii="文泉驿微米黑" w:eastAsia="文泉驿微米黑" w:hAnsi="文泉驿微米黑" w:cs="Arial Unicode MS"/>
          <w:sz w:val="24"/>
          <w:szCs w:val="24"/>
        </w:rPr>
        <w:t xml:space="preserve"> EndKey </w:t>
      </w:r>
      <w:r w:rsidRPr="00780196">
        <w:rPr>
          <w:rFonts w:ascii="文泉驿微米黑" w:eastAsia="文泉驿微米黑" w:hAnsi="文泉驿微米黑" w:cs="Arial Unicode MS"/>
          <w:sz w:val="24"/>
          <w:szCs w:val="24"/>
        </w:rPr>
        <w:t>的</w:t>
      </w:r>
      <w:proofErr w:type="gramStart"/>
      <w:r w:rsidRPr="00780196">
        <w:rPr>
          <w:rFonts w:ascii="文泉驿微米黑" w:eastAsia="文泉驿微米黑" w:hAnsi="文泉驿微米黑" w:cs="Arial Unicode MS"/>
          <w:sz w:val="24"/>
          <w:szCs w:val="24"/>
        </w:rPr>
        <w:t>左闭右开区间</w:t>
      </w:r>
      <w:proofErr w:type="gramEnd"/>
      <w:r w:rsidRPr="00780196">
        <w:rPr>
          <w:rFonts w:ascii="文泉驿微米黑" w:eastAsia="文泉驿微米黑" w:hAnsi="文泉驿微米黑" w:cs="Arial Unicode MS"/>
          <w:sz w:val="24"/>
          <w:szCs w:val="24"/>
        </w:rPr>
        <w:t>）的数据，每个</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节点会负责多个</w:t>
      </w:r>
      <w:r w:rsidRPr="00780196">
        <w:rPr>
          <w:rFonts w:ascii="文泉驿微米黑" w:eastAsia="文泉驿微米黑" w:hAnsi="文泉驿微米黑" w:cs="Arial Unicode MS"/>
          <w:sz w:val="24"/>
          <w:szCs w:val="24"/>
        </w:rPr>
        <w:t xml:space="preserve"> Region</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 xml:space="preserve">TiKV </w:t>
      </w:r>
      <w:r w:rsidRPr="00780196">
        <w:rPr>
          <w:rFonts w:ascii="文泉驿微米黑" w:eastAsia="文泉驿微米黑" w:hAnsi="文泉驿微米黑" w:cs="Arial Unicode MS"/>
          <w:sz w:val="24"/>
          <w:szCs w:val="24"/>
        </w:rPr>
        <w:t>的</w:t>
      </w:r>
      <w:r w:rsidRPr="00780196">
        <w:rPr>
          <w:rFonts w:ascii="文泉驿微米黑" w:eastAsia="文泉驿微米黑" w:hAnsi="文泉驿微米黑" w:cs="Arial Unicode MS"/>
          <w:sz w:val="24"/>
          <w:szCs w:val="24"/>
        </w:rPr>
        <w:t xml:space="preserve"> API </w:t>
      </w:r>
      <w:r w:rsidRPr="00780196">
        <w:rPr>
          <w:rFonts w:ascii="文泉驿微米黑" w:eastAsia="文泉驿微米黑" w:hAnsi="文泉驿微米黑" w:cs="Arial Unicode MS"/>
          <w:sz w:val="24"/>
          <w:szCs w:val="24"/>
        </w:rPr>
        <w:t>在</w:t>
      </w:r>
      <w:r w:rsidRPr="00780196">
        <w:rPr>
          <w:rFonts w:ascii="文泉驿微米黑" w:eastAsia="文泉驿微米黑" w:hAnsi="文泉驿微米黑" w:cs="Arial Unicode MS"/>
          <w:sz w:val="24"/>
          <w:szCs w:val="24"/>
        </w:rPr>
        <w:t xml:space="preserve"> KV </w:t>
      </w:r>
      <w:r w:rsidRPr="00780196">
        <w:rPr>
          <w:rFonts w:ascii="文泉驿微米黑" w:eastAsia="文泉驿微米黑" w:hAnsi="文泉驿微米黑" w:cs="Arial Unicode MS"/>
          <w:sz w:val="24"/>
          <w:szCs w:val="24"/>
        </w:rPr>
        <w:t>键值对层面提供对分布式事务的原生支持，默认提供了</w:t>
      </w:r>
      <w:r w:rsidRPr="00780196">
        <w:rPr>
          <w:rFonts w:ascii="文泉驿微米黑" w:eastAsia="文泉驿微米黑" w:hAnsi="文泉驿微米黑" w:cs="Arial Unicode MS"/>
          <w:sz w:val="24"/>
          <w:szCs w:val="24"/>
        </w:rPr>
        <w:t xml:space="preserve"> SI (Snapshot Isolation) </w:t>
      </w:r>
      <w:r w:rsidRPr="00780196">
        <w:rPr>
          <w:rFonts w:ascii="文泉驿微米黑" w:eastAsia="文泉驿微米黑" w:hAnsi="文泉驿微米黑" w:cs="Arial Unicode MS"/>
          <w:sz w:val="24"/>
          <w:szCs w:val="24"/>
        </w:rPr>
        <w:t>的隔</w:t>
      </w:r>
      <w:r w:rsidRPr="00780196">
        <w:rPr>
          <w:rFonts w:ascii="文泉驿微米黑" w:eastAsia="文泉驿微米黑" w:hAnsi="文泉驿微米黑" w:cs="Arial Unicode MS"/>
          <w:sz w:val="24"/>
          <w:szCs w:val="24"/>
        </w:rPr>
        <w:t>离级别，这也是</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在</w:t>
      </w:r>
      <w:r w:rsidRPr="00780196">
        <w:rPr>
          <w:rFonts w:ascii="文泉驿微米黑" w:eastAsia="文泉驿微米黑" w:hAnsi="文泉驿微米黑" w:cs="Arial Unicode MS"/>
          <w:sz w:val="24"/>
          <w:szCs w:val="24"/>
        </w:rPr>
        <w:t xml:space="preserve"> SQL </w:t>
      </w:r>
      <w:r w:rsidRPr="00780196">
        <w:rPr>
          <w:rFonts w:ascii="文泉驿微米黑" w:eastAsia="文泉驿微米黑" w:hAnsi="文泉驿微米黑" w:cs="Arial Unicode MS"/>
          <w:sz w:val="24"/>
          <w:szCs w:val="24"/>
        </w:rPr>
        <w:t>层面支持分布式事务的核心。</w:t>
      </w:r>
      <w:r w:rsidRPr="00780196">
        <w:rPr>
          <w:rFonts w:ascii="文泉驿微米黑" w:eastAsia="文泉驿微米黑" w:hAnsi="文泉驿微米黑" w:cs="Arial Unicode MS"/>
          <w:sz w:val="24"/>
          <w:szCs w:val="24"/>
        </w:rPr>
        <w:t xml:space="preserve">TiDB </w:t>
      </w:r>
      <w:r w:rsidRPr="00780196">
        <w:rPr>
          <w:rFonts w:ascii="文泉驿微米黑" w:eastAsia="文泉驿微米黑" w:hAnsi="文泉驿微米黑" w:cs="Arial Unicode MS"/>
          <w:sz w:val="24"/>
          <w:szCs w:val="24"/>
        </w:rPr>
        <w:t>的</w:t>
      </w:r>
      <w:r w:rsidRPr="00780196">
        <w:rPr>
          <w:rFonts w:ascii="文泉驿微米黑" w:eastAsia="文泉驿微米黑" w:hAnsi="文泉驿微米黑" w:cs="Arial Unicode MS"/>
          <w:sz w:val="24"/>
          <w:szCs w:val="24"/>
        </w:rPr>
        <w:t xml:space="preserve"> SQL </w:t>
      </w:r>
      <w:r w:rsidRPr="00780196">
        <w:rPr>
          <w:rFonts w:ascii="文泉驿微米黑" w:eastAsia="文泉驿微米黑" w:hAnsi="文泉驿微米黑" w:cs="Arial Unicode MS"/>
          <w:sz w:val="24"/>
          <w:szCs w:val="24"/>
        </w:rPr>
        <w:t>层做完</w:t>
      </w:r>
      <w:r w:rsidRPr="00780196">
        <w:rPr>
          <w:rFonts w:ascii="文泉驿微米黑" w:eastAsia="文泉驿微米黑" w:hAnsi="文泉驿微米黑" w:cs="Arial Unicode MS"/>
          <w:sz w:val="24"/>
          <w:szCs w:val="24"/>
        </w:rPr>
        <w:t xml:space="preserve"> SQL </w:t>
      </w:r>
      <w:r w:rsidRPr="00780196">
        <w:rPr>
          <w:rFonts w:ascii="文泉驿微米黑" w:eastAsia="文泉驿微米黑" w:hAnsi="文泉驿微米黑" w:cs="Arial Unicode MS"/>
          <w:sz w:val="24"/>
          <w:szCs w:val="24"/>
        </w:rPr>
        <w:t>解析后，会将</w:t>
      </w:r>
      <w:r w:rsidRPr="00780196">
        <w:rPr>
          <w:rFonts w:ascii="文泉驿微米黑" w:eastAsia="文泉驿微米黑" w:hAnsi="文泉驿微米黑" w:cs="Arial Unicode MS"/>
          <w:sz w:val="24"/>
          <w:szCs w:val="24"/>
        </w:rPr>
        <w:t xml:space="preserve"> SQL </w:t>
      </w:r>
      <w:r w:rsidRPr="00780196">
        <w:rPr>
          <w:rFonts w:ascii="文泉驿微米黑" w:eastAsia="文泉驿微米黑" w:hAnsi="文泉驿微米黑" w:cs="Arial Unicode MS"/>
          <w:sz w:val="24"/>
          <w:szCs w:val="24"/>
        </w:rPr>
        <w:t>的执行计划转换为对</w:t>
      </w:r>
      <w:r w:rsidRPr="00780196">
        <w:rPr>
          <w:rFonts w:ascii="文泉驿微米黑" w:eastAsia="文泉驿微米黑" w:hAnsi="文泉驿微米黑" w:cs="Arial Unicode MS"/>
          <w:sz w:val="24"/>
          <w:szCs w:val="24"/>
        </w:rPr>
        <w:t xml:space="preserve"> TiKV API </w:t>
      </w:r>
      <w:r w:rsidRPr="00780196">
        <w:rPr>
          <w:rFonts w:ascii="文泉驿微米黑" w:eastAsia="文泉驿微米黑" w:hAnsi="文泉驿微米黑" w:cs="Arial Unicode MS"/>
          <w:sz w:val="24"/>
          <w:szCs w:val="24"/>
        </w:rPr>
        <w:t>的实际调用。所以，数据都存储在</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中。另外，</w:t>
      </w:r>
      <w:r w:rsidRPr="00780196">
        <w:rPr>
          <w:rFonts w:ascii="文泉驿微米黑" w:eastAsia="文泉驿微米黑" w:hAnsi="文泉驿微米黑" w:cs="Arial Unicode MS"/>
          <w:sz w:val="24"/>
          <w:szCs w:val="24"/>
        </w:rPr>
        <w:t xml:space="preserve">TiKV </w:t>
      </w:r>
      <w:r w:rsidRPr="00780196">
        <w:rPr>
          <w:rFonts w:ascii="文泉驿微米黑" w:eastAsia="文泉驿微米黑" w:hAnsi="文泉驿微米黑" w:cs="Arial Unicode MS"/>
          <w:sz w:val="24"/>
          <w:szCs w:val="24"/>
        </w:rPr>
        <w:t>中的数据都会自动维护多副本（默认为三副本），</w:t>
      </w:r>
      <w:proofErr w:type="gramStart"/>
      <w:r w:rsidRPr="00780196">
        <w:rPr>
          <w:rFonts w:ascii="文泉驿微米黑" w:eastAsia="文泉驿微米黑" w:hAnsi="文泉驿微米黑" w:cs="Arial Unicode MS"/>
          <w:sz w:val="24"/>
          <w:szCs w:val="24"/>
        </w:rPr>
        <w:t>天然支持</w:t>
      </w:r>
      <w:proofErr w:type="gramEnd"/>
      <w:r w:rsidRPr="00780196">
        <w:rPr>
          <w:rFonts w:ascii="文泉驿微米黑" w:eastAsia="文泉驿微米黑" w:hAnsi="文泉驿微米黑" w:cs="Arial Unicode MS"/>
          <w:sz w:val="24"/>
          <w:szCs w:val="24"/>
        </w:rPr>
        <w:t>高可用和自动故障转移。</w:t>
      </w:r>
    </w:p>
    <w:p w14:paraId="78759C71"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2FF98A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 xml:space="preserve">TiFlash </w:t>
      </w:r>
      <w:r w:rsidRPr="00780196">
        <w:rPr>
          <w:rFonts w:ascii="文泉驿微米黑" w:eastAsia="文泉驿微米黑" w:hAnsi="文泉驿微米黑" w:cs="Arial Unicode MS"/>
          <w:sz w:val="24"/>
          <w:szCs w:val="24"/>
        </w:rPr>
        <w:t>是一类特殊的存储节点。和普通</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节点不一样的是，在</w:t>
      </w:r>
      <w:r w:rsidRPr="00780196">
        <w:rPr>
          <w:rFonts w:ascii="文泉驿微米黑" w:eastAsia="文泉驿微米黑" w:hAnsi="文泉驿微米黑" w:cs="Arial Unicode MS"/>
          <w:sz w:val="24"/>
          <w:szCs w:val="24"/>
        </w:rPr>
        <w:t xml:space="preserve"> TiFlash </w:t>
      </w:r>
      <w:r w:rsidRPr="00780196">
        <w:rPr>
          <w:rFonts w:ascii="文泉驿微米黑" w:eastAsia="文泉驿微米黑" w:hAnsi="文泉驿微米黑" w:cs="Arial Unicode MS"/>
          <w:sz w:val="24"/>
          <w:szCs w:val="24"/>
        </w:rPr>
        <w:t>内部，数据是以列式的形式进行存储，主要的功能是为分析型的场景加速。</w:t>
      </w:r>
    </w:p>
    <w:p w14:paraId="328F42D0"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D02F5BC" w14:textId="77777777" w:rsidR="006E5F0C" w:rsidRPr="00780196" w:rsidRDefault="006E5F0C">
      <w:pPr>
        <w:rPr>
          <w:rFonts w:ascii="文泉驿微米黑" w:eastAsia="文泉驿微米黑" w:hAnsi="文泉驿微米黑" w:cs="Helvetica Neue"/>
        </w:rPr>
      </w:pPr>
    </w:p>
    <w:p w14:paraId="359A14C6" w14:textId="77777777" w:rsidR="006E5F0C" w:rsidRPr="00780196" w:rsidRDefault="00D2464C">
      <w:pPr>
        <w:pStyle w:val="1"/>
        <w:spacing w:before="60" w:after="480"/>
        <w:rPr>
          <w:rFonts w:ascii="文泉驿微米黑" w:eastAsia="文泉驿微米黑" w:hAnsi="文泉驿微米黑" w:cs="Helvetica Neue"/>
        </w:rPr>
      </w:pPr>
      <w:bookmarkStart w:id="18" w:name="_miyzpr3va7oj" w:colFirst="0" w:colLast="0"/>
      <w:bookmarkEnd w:id="18"/>
      <w:r w:rsidRPr="00780196">
        <w:rPr>
          <w:rFonts w:ascii="文泉驿微米黑" w:eastAsia="文泉驿微米黑" w:hAnsi="文泉驿微米黑" w:cs="Arial Unicode MS"/>
        </w:rPr>
        <w:t>使用场景</w:t>
      </w:r>
    </w:p>
    <w:p w14:paraId="731BC3D9"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一键水平扩容或者缩容</w:t>
      </w:r>
      <w:r w:rsidRPr="00780196">
        <w:rPr>
          <w:rFonts w:ascii="文泉驿微米黑" w:eastAsia="文泉驿微米黑" w:hAnsi="文泉驿微米黑" w:cs="Arial Unicode MS"/>
          <w:sz w:val="24"/>
          <w:szCs w:val="24"/>
        </w:rPr>
        <w:br/>
      </w:r>
      <w:r w:rsidRPr="00780196">
        <w:rPr>
          <w:rFonts w:ascii="文泉驿微米黑" w:eastAsia="文泉驿微米黑" w:hAnsi="文泉驿微米黑" w:cs="Arial Unicode MS"/>
          <w:sz w:val="24"/>
          <w:szCs w:val="24"/>
        </w:rPr>
        <w:t>得益于</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存储计算分离的架构的设计，可按需对计算、存储分别进行在线扩容或者缩容，扩容或者缩容过程中对应用运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0B354675"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proofErr w:type="gramStart"/>
      <w:r w:rsidRPr="00780196">
        <w:rPr>
          <w:rFonts w:ascii="文泉驿微米黑" w:eastAsia="文泉驿微米黑" w:hAnsi="文泉驿微米黑" w:cs="Arial Unicode MS"/>
          <w:b/>
          <w:sz w:val="24"/>
          <w:szCs w:val="24"/>
        </w:rPr>
        <w:t>金融级</w:t>
      </w:r>
      <w:proofErr w:type="gramEnd"/>
      <w:r w:rsidRPr="00780196">
        <w:rPr>
          <w:rFonts w:ascii="文泉驿微米黑" w:eastAsia="文泉驿微米黑" w:hAnsi="文泉驿微米黑" w:cs="Arial Unicode MS"/>
          <w:b/>
          <w:sz w:val="24"/>
          <w:szCs w:val="24"/>
        </w:rPr>
        <w:t>高可用</w:t>
      </w:r>
      <w:r w:rsidRPr="00780196">
        <w:rPr>
          <w:rFonts w:ascii="文泉驿微米黑" w:eastAsia="文泉驿微米黑" w:hAnsi="文泉驿微米黑" w:cs="Arial Unicode MS"/>
          <w:sz w:val="24"/>
          <w:szCs w:val="24"/>
        </w:rPr>
        <w:br/>
      </w:r>
      <w:r w:rsidRPr="00780196">
        <w:rPr>
          <w:rFonts w:ascii="文泉驿微米黑" w:eastAsia="文泉驿微米黑" w:hAnsi="文泉驿微米黑" w:cs="Arial Unicode MS"/>
          <w:sz w:val="24"/>
          <w:szCs w:val="24"/>
        </w:rPr>
        <w:t>数据采用多副本存储，数据副本通过</w:t>
      </w:r>
      <w:r w:rsidRPr="00780196">
        <w:rPr>
          <w:rFonts w:ascii="文泉驿微米黑" w:eastAsia="文泉驿微米黑" w:hAnsi="文泉驿微米黑" w:cs="Arial Unicode MS"/>
          <w:sz w:val="24"/>
          <w:szCs w:val="24"/>
        </w:rPr>
        <w:t xml:space="preserve"> Multi-Raft </w:t>
      </w:r>
      <w:r w:rsidRPr="00780196">
        <w:rPr>
          <w:rFonts w:ascii="文泉驿微米黑" w:eastAsia="文泉驿微米黑" w:hAnsi="文泉驿微米黑" w:cs="Arial Unicode MS"/>
          <w:sz w:val="24"/>
          <w:szCs w:val="24"/>
        </w:rPr>
        <w:t>协议同步事务日志，多数派写入成功事务才能提交，确保数据强一致性且少数副本发生故障时不影响数据的可用性。可按需配置副本地理位置、副本数量等策略满足不同容灾级别的要求。</w:t>
      </w:r>
    </w:p>
    <w:p w14:paraId="15DCBC44"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lastRenderedPageBreak/>
        <w:t>实时</w:t>
      </w:r>
      <w:r w:rsidRPr="00780196">
        <w:rPr>
          <w:rFonts w:ascii="文泉驿微米黑" w:eastAsia="文泉驿微米黑" w:hAnsi="文泉驿微米黑" w:cs="Arial Unicode MS"/>
          <w:b/>
          <w:sz w:val="24"/>
          <w:szCs w:val="24"/>
        </w:rPr>
        <w:t xml:space="preserve"> HTAP</w:t>
      </w:r>
      <w:r w:rsidRPr="00780196">
        <w:rPr>
          <w:rFonts w:ascii="文泉驿微米黑" w:eastAsia="文泉驿微米黑" w:hAnsi="文泉驿微米黑" w:cs="Arial Unicode MS"/>
          <w:sz w:val="24"/>
          <w:szCs w:val="24"/>
        </w:rPr>
        <w:br/>
      </w:r>
      <w:r w:rsidRPr="00780196">
        <w:rPr>
          <w:rFonts w:ascii="文泉驿微米黑" w:eastAsia="文泉驿微米黑" w:hAnsi="文泉驿微米黑" w:cs="Arial Unicode MS"/>
          <w:sz w:val="24"/>
          <w:szCs w:val="24"/>
        </w:rPr>
        <w:t>提供行存储引擎</w:t>
      </w:r>
      <w:r w:rsidRPr="00780196">
        <w:rPr>
          <w:rFonts w:ascii="文泉驿微米黑" w:eastAsia="文泉驿微米黑" w:hAnsi="文泉驿微米黑" w:cs="Arial Unicode MS"/>
          <w:sz w:val="24"/>
          <w:szCs w:val="24"/>
        </w:rPr>
        <w:t xml:space="preserve"> TiKV</w:t>
      </w:r>
      <w:r w:rsidRPr="00780196">
        <w:rPr>
          <w:rFonts w:ascii="文泉驿微米黑" w:eastAsia="文泉驿微米黑" w:hAnsi="文泉驿微米黑" w:cs="Arial Unicode MS"/>
          <w:sz w:val="24"/>
          <w:szCs w:val="24"/>
        </w:rPr>
        <w:t>、列存储引擎</w:t>
      </w:r>
      <w:r w:rsidRPr="00780196">
        <w:rPr>
          <w:rFonts w:ascii="文泉驿微米黑" w:eastAsia="文泉驿微米黑" w:hAnsi="文泉驿微米黑" w:cs="Arial Unicode MS"/>
          <w:sz w:val="24"/>
          <w:szCs w:val="24"/>
        </w:rPr>
        <w:t xml:space="preserve"> TiFlash </w:t>
      </w:r>
      <w:r w:rsidRPr="00780196">
        <w:rPr>
          <w:rFonts w:ascii="文泉驿微米黑" w:eastAsia="文泉驿微米黑" w:hAnsi="文泉驿微米黑" w:cs="Arial Unicode MS"/>
          <w:sz w:val="24"/>
          <w:szCs w:val="24"/>
        </w:rPr>
        <w:t>两款存储引擎，</w:t>
      </w:r>
      <w:r w:rsidRPr="00780196">
        <w:rPr>
          <w:rFonts w:ascii="文泉驿微米黑" w:eastAsia="文泉驿微米黑" w:hAnsi="文泉驿微米黑" w:cs="Arial Unicode MS"/>
          <w:sz w:val="24"/>
          <w:szCs w:val="24"/>
        </w:rPr>
        <w:t xml:space="preserve">TiFlash </w:t>
      </w:r>
      <w:r w:rsidRPr="00780196">
        <w:rPr>
          <w:rFonts w:ascii="文泉驿微米黑" w:eastAsia="文泉驿微米黑" w:hAnsi="文泉驿微米黑" w:cs="Arial Unicode MS"/>
          <w:sz w:val="24"/>
          <w:szCs w:val="24"/>
        </w:rPr>
        <w:t>通过</w:t>
      </w:r>
      <w:r w:rsidRPr="00780196">
        <w:rPr>
          <w:rFonts w:ascii="文泉驿微米黑" w:eastAsia="文泉驿微米黑" w:hAnsi="文泉驿微米黑" w:cs="Arial Unicode MS"/>
          <w:sz w:val="24"/>
          <w:szCs w:val="24"/>
        </w:rPr>
        <w:t xml:space="preserve"> Multi-Raft Learner </w:t>
      </w:r>
      <w:r w:rsidRPr="00780196">
        <w:rPr>
          <w:rFonts w:ascii="文泉驿微米黑" w:eastAsia="文泉驿微米黑" w:hAnsi="文泉驿微米黑" w:cs="Arial Unicode MS"/>
          <w:sz w:val="24"/>
          <w:szCs w:val="24"/>
        </w:rPr>
        <w:t>协议实时从</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复制数据，确保行存储引擎</w:t>
      </w:r>
      <w:r w:rsidRPr="00780196">
        <w:rPr>
          <w:rFonts w:ascii="文泉驿微米黑" w:eastAsia="文泉驿微米黑" w:hAnsi="文泉驿微米黑" w:cs="Arial Unicode MS"/>
          <w:sz w:val="24"/>
          <w:szCs w:val="24"/>
        </w:rPr>
        <w:t xml:space="preserve"> TiKV </w:t>
      </w:r>
      <w:r w:rsidRPr="00780196">
        <w:rPr>
          <w:rFonts w:ascii="文泉驿微米黑" w:eastAsia="文泉驿微米黑" w:hAnsi="文泉驿微米黑" w:cs="Arial Unicode MS"/>
          <w:sz w:val="24"/>
          <w:szCs w:val="24"/>
        </w:rPr>
        <w:t>和列存储引擎</w:t>
      </w:r>
      <w:r w:rsidRPr="00780196">
        <w:rPr>
          <w:rFonts w:ascii="文泉驿微米黑" w:eastAsia="文泉驿微米黑" w:hAnsi="文泉驿微米黑" w:cs="Arial Unicode MS"/>
          <w:sz w:val="24"/>
          <w:szCs w:val="24"/>
        </w:rPr>
        <w:t xml:space="preserve"> TiFlash </w:t>
      </w:r>
      <w:r w:rsidRPr="00780196">
        <w:rPr>
          <w:rFonts w:ascii="文泉驿微米黑" w:eastAsia="文泉驿微米黑" w:hAnsi="文泉驿微米黑" w:cs="Arial Unicode MS"/>
          <w:sz w:val="24"/>
          <w:szCs w:val="24"/>
        </w:rPr>
        <w:t>之间的数据强一致。</w:t>
      </w:r>
      <w:r w:rsidRPr="00780196">
        <w:rPr>
          <w:rFonts w:ascii="文泉驿微米黑" w:eastAsia="文泉驿微米黑" w:hAnsi="文泉驿微米黑" w:cs="Arial Unicode MS"/>
          <w:sz w:val="24"/>
          <w:szCs w:val="24"/>
        </w:rPr>
        <w:t>TiKV</w:t>
      </w:r>
      <w:r w:rsidRPr="00780196">
        <w:rPr>
          <w:rFonts w:ascii="文泉驿微米黑" w:eastAsia="文泉驿微米黑" w:hAnsi="文泉驿微米黑" w:cs="Arial Unicode MS"/>
          <w:sz w:val="24"/>
          <w:szCs w:val="24"/>
        </w:rPr>
        <w:t>、</w:t>
      </w:r>
      <w:r w:rsidRPr="00780196">
        <w:rPr>
          <w:rFonts w:ascii="文泉驿微米黑" w:eastAsia="文泉驿微米黑" w:hAnsi="文泉驿微米黑" w:cs="Arial Unicode MS"/>
          <w:sz w:val="24"/>
          <w:szCs w:val="24"/>
        </w:rPr>
        <w:t xml:space="preserve">TiFlash </w:t>
      </w:r>
      <w:r w:rsidRPr="00780196">
        <w:rPr>
          <w:rFonts w:ascii="文泉驿微米黑" w:eastAsia="文泉驿微米黑" w:hAnsi="文泉驿微米黑" w:cs="Arial Unicode MS"/>
          <w:sz w:val="24"/>
          <w:szCs w:val="24"/>
        </w:rPr>
        <w:t>可按需部署在不</w:t>
      </w:r>
      <w:r w:rsidRPr="00780196">
        <w:rPr>
          <w:rFonts w:ascii="文泉驿微米黑" w:eastAsia="文泉驿微米黑" w:hAnsi="文泉驿微米黑" w:cs="Arial Unicode MS"/>
          <w:sz w:val="24"/>
          <w:szCs w:val="24"/>
        </w:rPr>
        <w:t>同的机器，解决</w:t>
      </w:r>
      <w:r w:rsidRPr="00780196">
        <w:rPr>
          <w:rFonts w:ascii="文泉驿微米黑" w:eastAsia="文泉驿微米黑" w:hAnsi="文泉驿微米黑" w:cs="Arial Unicode MS"/>
          <w:sz w:val="24"/>
          <w:szCs w:val="24"/>
        </w:rPr>
        <w:t xml:space="preserve"> HTAP </w:t>
      </w:r>
      <w:r w:rsidRPr="00780196">
        <w:rPr>
          <w:rFonts w:ascii="文泉驿微米黑" w:eastAsia="文泉驿微米黑" w:hAnsi="文泉驿微米黑" w:cs="Arial Unicode MS"/>
          <w:sz w:val="24"/>
          <w:szCs w:val="24"/>
        </w:rPr>
        <w:t>资源隔离的问题。</w:t>
      </w:r>
    </w:p>
    <w:p w14:paraId="502F344D"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云原生的分布式数据库</w:t>
      </w:r>
      <w:r w:rsidRPr="00780196">
        <w:rPr>
          <w:rFonts w:ascii="文泉驿微米黑" w:eastAsia="文泉驿微米黑" w:hAnsi="文泉驿微米黑" w:cs="Arial Unicode MS"/>
          <w:sz w:val="24"/>
          <w:szCs w:val="24"/>
        </w:rPr>
        <w:br/>
      </w:r>
      <w:r w:rsidRPr="00780196">
        <w:rPr>
          <w:rFonts w:ascii="文泉驿微米黑" w:eastAsia="文泉驿微米黑" w:hAnsi="文泉驿微米黑" w:cs="Arial Unicode MS"/>
          <w:sz w:val="24"/>
          <w:szCs w:val="24"/>
        </w:rPr>
        <w:t>为</w:t>
      </w:r>
      <w:proofErr w:type="gramStart"/>
      <w:r w:rsidRPr="00780196">
        <w:rPr>
          <w:rFonts w:ascii="文泉驿微米黑" w:eastAsia="文泉驿微米黑" w:hAnsi="文泉驿微米黑" w:cs="Arial Unicode MS"/>
          <w:sz w:val="24"/>
          <w:szCs w:val="24"/>
        </w:rPr>
        <w:t>云设计</w:t>
      </w:r>
      <w:proofErr w:type="gramEnd"/>
      <w:r w:rsidRPr="00780196">
        <w:rPr>
          <w:rFonts w:ascii="文泉驿微米黑" w:eastAsia="文泉驿微米黑" w:hAnsi="文泉驿微米黑" w:cs="Arial Unicode MS"/>
          <w:sz w:val="24"/>
          <w:szCs w:val="24"/>
        </w:rPr>
        <w:t>的分布式数据库，通过</w:t>
      </w:r>
      <w:r w:rsidRPr="00780196">
        <w:rPr>
          <w:rFonts w:ascii="文泉驿微米黑" w:eastAsia="文泉驿微米黑" w:hAnsi="文泉驿微米黑" w:cs="Arial Unicode MS"/>
          <w:sz w:val="24"/>
          <w:szCs w:val="24"/>
        </w:rPr>
        <w:t xml:space="preserve"> </w:t>
      </w:r>
      <w:hyperlink r:id="rId13">
        <w:r w:rsidRPr="00780196">
          <w:rPr>
            <w:rFonts w:ascii="文泉驿微米黑" w:eastAsia="文泉驿微米黑" w:hAnsi="文泉驿微米黑" w:cs="Helvetica Neue"/>
            <w:sz w:val="24"/>
            <w:szCs w:val="24"/>
          </w:rPr>
          <w:t>TiDB Operator</w:t>
        </w:r>
      </w:hyperlink>
      <w:r w:rsidRPr="00780196">
        <w:rPr>
          <w:rFonts w:ascii="文泉驿微米黑" w:eastAsia="文泉驿微米黑" w:hAnsi="文泉驿微米黑" w:cs="Arial Unicode MS"/>
          <w:sz w:val="24"/>
          <w:szCs w:val="24"/>
        </w:rPr>
        <w:t xml:space="preserve"> </w:t>
      </w:r>
      <w:r w:rsidRPr="00780196">
        <w:rPr>
          <w:rFonts w:ascii="文泉驿微米黑" w:eastAsia="文泉驿微米黑" w:hAnsi="文泉驿微米黑" w:cs="Arial Unicode MS"/>
          <w:sz w:val="24"/>
          <w:szCs w:val="24"/>
        </w:rPr>
        <w:t>可在公有云、私有云、混合云中实现部署工具化、自动化，依托</w:t>
      </w:r>
      <w:proofErr w:type="gramStart"/>
      <w:r w:rsidRPr="00780196">
        <w:rPr>
          <w:rFonts w:ascii="文泉驿微米黑" w:eastAsia="文泉驿微米黑" w:hAnsi="文泉驿微米黑" w:cs="Arial Unicode MS"/>
          <w:sz w:val="24"/>
          <w:szCs w:val="24"/>
        </w:rPr>
        <w:t>公有云提供</w:t>
      </w:r>
      <w:proofErr w:type="gramEnd"/>
      <w:r w:rsidRPr="00780196">
        <w:rPr>
          <w:rFonts w:ascii="文泉驿微米黑" w:eastAsia="文泉驿微米黑" w:hAnsi="文泉驿微米黑" w:cs="Arial Unicode MS"/>
          <w:sz w:val="24"/>
          <w:szCs w:val="24"/>
        </w:rPr>
        <w:t>开箱即用的</w:t>
      </w:r>
      <w:r w:rsidRPr="00780196">
        <w:rPr>
          <w:rFonts w:ascii="文泉驿微米黑" w:eastAsia="文泉驿微米黑" w:hAnsi="文泉驿微米黑" w:cs="Arial Unicode MS"/>
          <w:sz w:val="24"/>
          <w:szCs w:val="24"/>
        </w:rPr>
        <w:t xml:space="preserve"> TiDB Cloud </w:t>
      </w:r>
      <w:r w:rsidRPr="00780196">
        <w:rPr>
          <w:rFonts w:ascii="文泉驿微米黑" w:eastAsia="文泉驿微米黑" w:hAnsi="文泉驿微米黑" w:cs="Arial Unicode MS"/>
          <w:sz w:val="24"/>
          <w:szCs w:val="24"/>
        </w:rPr>
        <w:t>服务（</w:t>
      </w:r>
      <w:r w:rsidRPr="00780196">
        <w:rPr>
          <w:rFonts w:ascii="文泉驿微米黑" w:eastAsia="文泉驿微米黑" w:hAnsi="文泉驿微米黑" w:cs="Arial Unicode MS"/>
          <w:sz w:val="24"/>
          <w:szCs w:val="24"/>
        </w:rPr>
        <w:t>DBaaS</w:t>
      </w:r>
      <w:r w:rsidRPr="00780196">
        <w:rPr>
          <w:rFonts w:ascii="文泉驿微米黑" w:eastAsia="文泉驿微米黑" w:hAnsi="文泉驿微米黑" w:cs="Arial Unicode MS"/>
          <w:sz w:val="24"/>
          <w:szCs w:val="24"/>
        </w:rPr>
        <w:t>）。</w:t>
      </w:r>
    </w:p>
    <w:p w14:paraId="3DF63F45" w14:textId="77777777" w:rsidR="006E5F0C" w:rsidRPr="00780196" w:rsidRDefault="00D2464C">
      <w:pPr>
        <w:numPr>
          <w:ilvl w:val="0"/>
          <w:numId w:val="4"/>
        </w:numPr>
        <w:shd w:val="clear" w:color="auto" w:fill="FFFFFF"/>
        <w:spacing w:after="480"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兼容</w:t>
      </w:r>
      <w:r w:rsidRPr="00780196">
        <w:rPr>
          <w:rFonts w:ascii="文泉驿微米黑" w:eastAsia="文泉驿微米黑" w:hAnsi="文泉驿微米黑" w:cs="Arial Unicode MS"/>
          <w:b/>
          <w:sz w:val="24"/>
          <w:szCs w:val="24"/>
        </w:rPr>
        <w:t xml:space="preserve"> MySQL 5.7 </w:t>
      </w:r>
      <w:r w:rsidRPr="00780196">
        <w:rPr>
          <w:rFonts w:ascii="文泉驿微米黑" w:eastAsia="文泉驿微米黑" w:hAnsi="文泉驿微米黑" w:cs="Arial Unicode MS"/>
          <w:b/>
          <w:sz w:val="24"/>
          <w:szCs w:val="24"/>
        </w:rPr>
        <w:t>协议和</w:t>
      </w:r>
      <w:r w:rsidRPr="00780196">
        <w:rPr>
          <w:rFonts w:ascii="文泉驿微米黑" w:eastAsia="文泉驿微米黑" w:hAnsi="文泉驿微米黑" w:cs="Arial Unicode MS"/>
          <w:b/>
          <w:sz w:val="24"/>
          <w:szCs w:val="24"/>
        </w:rPr>
        <w:t xml:space="preserve"> MySQL </w:t>
      </w:r>
      <w:r w:rsidRPr="00780196">
        <w:rPr>
          <w:rFonts w:ascii="文泉驿微米黑" w:eastAsia="文泉驿微米黑" w:hAnsi="文泉驿微米黑" w:cs="Arial Unicode MS"/>
          <w:b/>
          <w:sz w:val="24"/>
          <w:szCs w:val="24"/>
        </w:rPr>
        <w:t>生态</w:t>
      </w:r>
      <w:r w:rsidRPr="00780196">
        <w:rPr>
          <w:rFonts w:ascii="文泉驿微米黑" w:eastAsia="文泉驿微米黑" w:hAnsi="文泉驿微米黑" w:cs="Arial Unicode MS"/>
          <w:sz w:val="24"/>
          <w:szCs w:val="24"/>
        </w:rPr>
        <w:br/>
      </w:r>
      <w:r w:rsidRPr="00780196">
        <w:rPr>
          <w:rFonts w:ascii="文泉驿微米黑" w:eastAsia="文泉驿微米黑" w:hAnsi="文泉驿微米黑" w:cs="Arial Unicode MS"/>
          <w:sz w:val="24"/>
          <w:szCs w:val="24"/>
        </w:rPr>
        <w:t>兼容</w:t>
      </w:r>
      <w:r w:rsidRPr="00780196">
        <w:rPr>
          <w:rFonts w:ascii="文泉驿微米黑" w:eastAsia="文泉驿微米黑" w:hAnsi="文泉驿微米黑" w:cs="Arial Unicode MS"/>
          <w:sz w:val="24"/>
          <w:szCs w:val="24"/>
        </w:rPr>
        <w:t xml:space="preserve"> MySQL 5.7 </w:t>
      </w:r>
      <w:r w:rsidRPr="00780196">
        <w:rPr>
          <w:rFonts w:ascii="文泉驿微米黑" w:eastAsia="文泉驿微米黑" w:hAnsi="文泉驿微米黑" w:cs="Arial Unicode MS"/>
          <w:sz w:val="24"/>
          <w:szCs w:val="24"/>
        </w:rPr>
        <w:t>协议、</w:t>
      </w:r>
      <w:r w:rsidRPr="00780196">
        <w:rPr>
          <w:rFonts w:ascii="文泉驿微米黑" w:eastAsia="文泉驿微米黑" w:hAnsi="文泉驿微米黑" w:cs="Arial Unicode MS"/>
          <w:sz w:val="24"/>
          <w:szCs w:val="24"/>
        </w:rPr>
        <w:t xml:space="preserve">MySQL </w:t>
      </w:r>
      <w:r w:rsidRPr="00780196">
        <w:rPr>
          <w:rFonts w:ascii="文泉驿微米黑" w:eastAsia="文泉驿微米黑" w:hAnsi="文泉驿微米黑" w:cs="Arial Unicode MS"/>
          <w:sz w:val="24"/>
          <w:szCs w:val="24"/>
        </w:rPr>
        <w:t>常用的功能、</w:t>
      </w:r>
      <w:r w:rsidRPr="00780196">
        <w:rPr>
          <w:rFonts w:ascii="文泉驿微米黑" w:eastAsia="文泉驿微米黑" w:hAnsi="文泉驿微米黑" w:cs="Arial Unicode MS"/>
          <w:sz w:val="24"/>
          <w:szCs w:val="24"/>
        </w:rPr>
        <w:t xml:space="preserve">MySQL </w:t>
      </w:r>
      <w:r w:rsidRPr="00780196">
        <w:rPr>
          <w:rFonts w:ascii="文泉驿微米黑" w:eastAsia="文泉驿微米黑" w:hAnsi="文泉驿微米黑" w:cs="Arial Unicode MS"/>
          <w:sz w:val="24"/>
          <w:szCs w:val="24"/>
        </w:rPr>
        <w:t>生态，应用无需或者修改少量代码即可从</w:t>
      </w:r>
      <w:r w:rsidRPr="00780196">
        <w:rPr>
          <w:rFonts w:ascii="文泉驿微米黑" w:eastAsia="文泉驿微米黑" w:hAnsi="文泉驿微米黑" w:cs="Arial Unicode MS"/>
          <w:sz w:val="24"/>
          <w:szCs w:val="24"/>
        </w:rPr>
        <w:t xml:space="preserve"> MySQL </w:t>
      </w:r>
      <w:r w:rsidRPr="00780196">
        <w:rPr>
          <w:rFonts w:ascii="文泉驿微米黑" w:eastAsia="文泉驿微米黑" w:hAnsi="文泉驿微米黑" w:cs="Arial Unicode MS"/>
          <w:sz w:val="24"/>
          <w:szCs w:val="24"/>
        </w:rPr>
        <w:t>迁移到</w:t>
      </w:r>
      <w:r w:rsidRPr="00780196">
        <w:rPr>
          <w:rFonts w:ascii="文泉驿微米黑" w:eastAsia="文泉驿微米黑" w:hAnsi="文泉驿微米黑" w:cs="Arial Unicode MS"/>
          <w:sz w:val="24"/>
          <w:szCs w:val="24"/>
        </w:rPr>
        <w:t xml:space="preserve"> TiDB</w:t>
      </w:r>
      <w:r w:rsidRPr="00780196">
        <w:rPr>
          <w:rFonts w:ascii="文泉驿微米黑" w:eastAsia="文泉驿微米黑" w:hAnsi="文泉驿微米黑" w:cs="Arial Unicode MS"/>
          <w:sz w:val="24"/>
          <w:szCs w:val="24"/>
        </w:rPr>
        <w:t>，提供丰富的数据迁移工具帮助应用便捷完成数据迁移。</w:t>
      </w:r>
    </w:p>
    <w:p w14:paraId="2AE616FB" w14:textId="77777777" w:rsidR="006E5F0C" w:rsidRPr="00780196" w:rsidRDefault="00D2464C">
      <w:pPr>
        <w:pStyle w:val="2"/>
        <w:spacing w:before="320" w:after="80" w:line="360" w:lineRule="auto"/>
        <w:jc w:val="both"/>
        <w:rPr>
          <w:rFonts w:ascii="文泉驿微米黑" w:eastAsia="文泉驿微米黑" w:hAnsi="文泉驿微米黑"/>
        </w:rPr>
      </w:pPr>
      <w:bookmarkStart w:id="19" w:name="_upme6xedqbbn" w:colFirst="0" w:colLast="0"/>
      <w:bookmarkEnd w:id="19"/>
      <w:r w:rsidRPr="00780196">
        <w:rPr>
          <w:rFonts w:ascii="文泉驿微米黑" w:eastAsia="文泉驿微米黑" w:hAnsi="文泉驿微米黑" w:cs="Arial Unicode MS"/>
        </w:rPr>
        <w:t xml:space="preserve">TiFlash </w:t>
      </w:r>
      <w:r w:rsidRPr="00780196">
        <w:rPr>
          <w:rFonts w:ascii="文泉驿微米黑" w:eastAsia="文泉驿微米黑" w:hAnsi="文泉驿微米黑" w:cs="Arial Unicode MS"/>
        </w:rPr>
        <w:t>高性能列式分析引擎</w:t>
      </w:r>
    </w:p>
    <w:p w14:paraId="580C57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为了真正解决企业级用户在高性能实时数据分析领域的业务需求，我们在</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已有体系架构的基础上，结合最先进的列式存储与计算技术，研发而成了</w:t>
      </w:r>
      <w:r w:rsidRPr="00780196">
        <w:rPr>
          <w:rFonts w:ascii="文泉驿微米黑" w:eastAsia="文泉驿微米黑" w:hAnsi="文泉驿微米黑" w:cs="Arial Unicode MS"/>
          <w:sz w:val="24"/>
          <w:szCs w:val="24"/>
        </w:rPr>
        <w:t xml:space="preserve"> TiFlash </w:t>
      </w:r>
      <w:r w:rsidRPr="00780196">
        <w:rPr>
          <w:rFonts w:ascii="文泉驿微米黑" w:eastAsia="文泉驿微米黑" w:hAnsi="文泉驿微米黑" w:cs="Arial Unicode MS"/>
          <w:sz w:val="24"/>
          <w:szCs w:val="24"/>
        </w:rPr>
        <w:t>高性能列式分析引擎。</w:t>
      </w:r>
    </w:p>
    <w:p w14:paraId="6C8B6B8B" w14:textId="77777777" w:rsidR="006E5F0C" w:rsidRPr="00780196" w:rsidRDefault="006E5F0C">
      <w:pPr>
        <w:rPr>
          <w:rFonts w:ascii="文泉驿微米黑" w:eastAsia="文泉驿微米黑" w:hAnsi="文泉驿微米黑" w:cs="Helvetica Neue"/>
          <w:sz w:val="24"/>
          <w:szCs w:val="24"/>
        </w:rPr>
      </w:pPr>
    </w:p>
    <w:p w14:paraId="3BA9B772"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TiFlash </w:t>
      </w:r>
      <w:r w:rsidRPr="00780196">
        <w:rPr>
          <w:rFonts w:ascii="文泉驿微米黑" w:eastAsia="文泉驿微米黑" w:hAnsi="文泉驿微米黑" w:cs="Arial Unicode MS"/>
          <w:sz w:val="24"/>
          <w:szCs w:val="24"/>
        </w:rPr>
        <w:t>是</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数据库的扩展分析引擎，核心基于列存储引擎和向量化计算引擎，与</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紧密集成，通过</w:t>
      </w:r>
      <w:r w:rsidRPr="00780196">
        <w:rPr>
          <w:rFonts w:ascii="文泉驿微米黑" w:eastAsia="文泉驿微米黑" w:hAnsi="文泉驿微米黑" w:cs="Arial Unicode MS"/>
          <w:sz w:val="24"/>
          <w:szCs w:val="24"/>
        </w:rPr>
        <w:t xml:space="preserve"> Raft Lea</w:t>
      </w:r>
      <w:r w:rsidRPr="00780196">
        <w:rPr>
          <w:rFonts w:ascii="文泉驿微米黑" w:eastAsia="文泉驿微米黑" w:hAnsi="文泉驿微米黑" w:cs="Arial Unicode MS"/>
          <w:sz w:val="24"/>
          <w:szCs w:val="24"/>
        </w:rPr>
        <w:t xml:space="preserve">rner </w:t>
      </w:r>
      <w:r w:rsidRPr="00780196">
        <w:rPr>
          <w:rFonts w:ascii="文泉驿微米黑" w:eastAsia="文泉驿微米黑" w:hAnsi="文泉驿微米黑" w:cs="Arial Unicode MS"/>
          <w:sz w:val="24"/>
          <w:szCs w:val="24"/>
        </w:rPr>
        <w:t>副本技术同步数据，对</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集群的</w:t>
      </w:r>
      <w:r w:rsidRPr="00780196">
        <w:rPr>
          <w:rFonts w:ascii="文泉驿微米黑" w:eastAsia="文泉驿微米黑" w:hAnsi="文泉驿微米黑" w:cs="Arial Unicode MS"/>
          <w:sz w:val="24"/>
          <w:szCs w:val="24"/>
        </w:rPr>
        <w:t xml:space="preserve"> OLTP </w:t>
      </w:r>
      <w:r w:rsidRPr="00780196">
        <w:rPr>
          <w:rFonts w:ascii="文泉驿微米黑" w:eastAsia="文泉驿微米黑" w:hAnsi="文泉驿微米黑" w:cs="Arial Unicode MS"/>
          <w:sz w:val="24"/>
          <w:szCs w:val="24"/>
        </w:rPr>
        <w:t>交易几乎没有影响。提供和</w:t>
      </w:r>
      <w:r w:rsidRPr="00780196">
        <w:rPr>
          <w:rFonts w:ascii="文泉驿微米黑" w:eastAsia="文泉驿微米黑" w:hAnsi="文泉驿微米黑" w:cs="Arial Unicode MS"/>
          <w:sz w:val="24"/>
          <w:szCs w:val="24"/>
        </w:rPr>
        <w:t xml:space="preserve"> TiDB </w:t>
      </w:r>
      <w:r w:rsidRPr="00780196">
        <w:rPr>
          <w:rFonts w:ascii="文泉驿微米黑" w:eastAsia="文泉驿微米黑" w:hAnsi="文泉驿微米黑" w:cs="Arial Unicode MS"/>
          <w:sz w:val="24"/>
          <w:szCs w:val="24"/>
        </w:rPr>
        <w:t>保持</w:t>
      </w:r>
      <w:proofErr w:type="gramStart"/>
      <w:r w:rsidRPr="00780196">
        <w:rPr>
          <w:rFonts w:ascii="文泉驿微米黑" w:eastAsia="文泉驿微米黑" w:hAnsi="文泉驿微米黑" w:cs="Arial Unicode MS"/>
          <w:sz w:val="24"/>
          <w:szCs w:val="24"/>
        </w:rPr>
        <w:t>强一致</w:t>
      </w:r>
      <w:proofErr w:type="gramEnd"/>
      <w:r w:rsidRPr="00780196">
        <w:rPr>
          <w:rFonts w:ascii="文泉驿微米黑" w:eastAsia="文泉驿微米黑" w:hAnsi="文泉驿微米黑" w:cs="Arial Unicode MS"/>
          <w:sz w:val="24"/>
          <w:szCs w:val="24"/>
        </w:rPr>
        <w:t>的数据读取，是真正的</w:t>
      </w:r>
      <w:proofErr w:type="gramStart"/>
      <w:r w:rsidRPr="00780196">
        <w:rPr>
          <w:rFonts w:ascii="文泉驿微米黑" w:eastAsia="文泉驿微米黑" w:hAnsi="文泉驿微米黑" w:cs="Arial Unicode MS"/>
          <w:sz w:val="24"/>
          <w:szCs w:val="24"/>
        </w:rPr>
        <w:t>内核级</w:t>
      </w:r>
      <w:proofErr w:type="gramEnd"/>
      <w:r w:rsidRPr="00780196">
        <w:rPr>
          <w:rFonts w:ascii="文泉驿微米黑" w:eastAsia="文泉驿微米黑" w:hAnsi="文泉驿微米黑" w:cs="Arial Unicode MS"/>
          <w:sz w:val="24"/>
          <w:szCs w:val="24"/>
        </w:rPr>
        <w:t xml:space="preserve"> HTAP </w:t>
      </w:r>
      <w:r w:rsidRPr="00780196">
        <w:rPr>
          <w:rFonts w:ascii="文泉驿微米黑" w:eastAsia="文泉驿微米黑" w:hAnsi="文泉驿微米黑" w:cs="Arial Unicode MS"/>
          <w:sz w:val="24"/>
          <w:szCs w:val="24"/>
        </w:rPr>
        <w:t>分布式混合负载数据处理平台。</w:t>
      </w:r>
    </w:p>
    <w:p w14:paraId="78EF654E" w14:textId="77777777" w:rsidR="006E5F0C" w:rsidRPr="00780196" w:rsidRDefault="006E5F0C">
      <w:pPr>
        <w:rPr>
          <w:rFonts w:ascii="文泉驿微米黑" w:eastAsia="文泉驿微米黑" w:hAnsi="文泉驿微米黑" w:cs="Helvetica Neue"/>
          <w:sz w:val="24"/>
          <w:szCs w:val="24"/>
        </w:rPr>
      </w:pPr>
    </w:p>
    <w:p w14:paraId="130E59D3"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这套系统可以很好地解决：</w:t>
      </w:r>
    </w:p>
    <w:p w14:paraId="2898AA21" w14:textId="77777777" w:rsidR="006E5F0C" w:rsidRPr="00780196" w:rsidRDefault="006E5F0C">
      <w:pPr>
        <w:rPr>
          <w:rFonts w:ascii="文泉驿微米黑" w:eastAsia="文泉驿微米黑" w:hAnsi="文泉驿微米黑" w:cs="Helvetica Neue"/>
          <w:sz w:val="24"/>
          <w:szCs w:val="24"/>
        </w:rPr>
      </w:pPr>
    </w:p>
    <w:p w14:paraId="03C3697E"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行存储和列存储的取舍问题；</w:t>
      </w:r>
    </w:p>
    <w:p w14:paraId="7AB2AE68"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OLTP </w:t>
      </w:r>
      <w:r w:rsidRPr="00780196">
        <w:rPr>
          <w:rFonts w:ascii="文泉驿微米黑" w:eastAsia="文泉驿微米黑" w:hAnsi="文泉驿微米黑" w:cs="Arial Unicode MS"/>
          <w:sz w:val="24"/>
          <w:szCs w:val="24"/>
        </w:rPr>
        <w:t>负载和</w:t>
      </w:r>
      <w:r w:rsidRPr="00780196">
        <w:rPr>
          <w:rFonts w:ascii="文泉驿微米黑" w:eastAsia="文泉驿微米黑" w:hAnsi="文泉驿微米黑" w:cs="Arial Unicode MS"/>
          <w:sz w:val="24"/>
          <w:szCs w:val="24"/>
        </w:rPr>
        <w:t xml:space="preserve"> OLAP </w:t>
      </w:r>
      <w:r w:rsidRPr="00780196">
        <w:rPr>
          <w:rFonts w:ascii="文泉驿微米黑" w:eastAsia="文泉驿微米黑" w:hAnsi="文泉驿微米黑" w:cs="Arial Unicode MS"/>
          <w:sz w:val="24"/>
          <w:szCs w:val="24"/>
        </w:rPr>
        <w:t>负载的资源隔离问题；</w:t>
      </w:r>
    </w:p>
    <w:p w14:paraId="33D9CF5B"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highlight w:val="white"/>
        </w:rPr>
        <w:lastRenderedPageBreak/>
        <w:t>高并发且对延迟敏感的事务性读写与中低并发重分析型计算混合共存的问题</w:t>
      </w:r>
    </w:p>
    <w:p w14:paraId="45F4AE66"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w:t>
      </w:r>
      <w:r w:rsidRPr="00780196">
        <w:rPr>
          <w:rFonts w:ascii="文泉驿微米黑" w:eastAsia="文泉驿微米黑" w:hAnsi="文泉驿微米黑" w:cs="Arial Unicode MS"/>
          <w:sz w:val="24"/>
          <w:szCs w:val="24"/>
        </w:rPr>
        <w:t xml:space="preserve"> Offload </w:t>
      </w:r>
      <w:r w:rsidRPr="00780196">
        <w:rPr>
          <w:rFonts w:ascii="文泉驿微米黑" w:eastAsia="文泉驿微米黑" w:hAnsi="文泉驿微米黑" w:cs="Arial Unicode MS"/>
          <w:sz w:val="24"/>
          <w:szCs w:val="24"/>
        </w:rPr>
        <w:t>到数据仓库引起的不一致风险。</w:t>
      </w:r>
    </w:p>
    <w:p w14:paraId="56D35ED0" w14:textId="77777777" w:rsidR="006E5F0C" w:rsidRPr="00780196" w:rsidRDefault="006E5F0C">
      <w:pPr>
        <w:rPr>
          <w:rFonts w:ascii="文泉驿微米黑" w:eastAsia="文泉驿微米黑" w:hAnsi="文泉驿微米黑" w:cs="Helvetica Neue"/>
          <w:sz w:val="24"/>
          <w:szCs w:val="24"/>
        </w:rPr>
      </w:pPr>
    </w:p>
    <w:p w14:paraId="05E930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w:t>
      </w:r>
      <w:r w:rsidRPr="00780196">
        <w:rPr>
          <w:rFonts w:ascii="文泉驿微米黑" w:eastAsia="文泉驿微米黑" w:hAnsi="文泉驿微米黑" w:cs="Arial Unicode MS"/>
          <w:sz w:val="24"/>
          <w:szCs w:val="24"/>
        </w:rPr>
        <w:t xml:space="preserve"> v5.0 </w:t>
      </w:r>
      <w:r w:rsidRPr="00780196">
        <w:rPr>
          <w:rFonts w:ascii="文泉驿微米黑" w:eastAsia="文泉驿微米黑" w:hAnsi="文泉驿微米黑" w:cs="Arial Unicode MS"/>
          <w:sz w:val="24"/>
          <w:szCs w:val="24"/>
        </w:rPr>
        <w:t>版本中，</w:t>
      </w:r>
      <w:r w:rsidRPr="00780196">
        <w:rPr>
          <w:rFonts w:ascii="文泉驿微米黑" w:eastAsia="文泉驿微米黑" w:hAnsi="文泉驿微米黑" w:cs="Arial Unicode MS"/>
          <w:sz w:val="24"/>
          <w:szCs w:val="24"/>
          <w:highlight w:val="white"/>
        </w:rPr>
        <w:t xml:space="preserve">TiDB </w:t>
      </w:r>
      <w:r w:rsidRPr="00780196">
        <w:rPr>
          <w:rFonts w:ascii="文泉驿微米黑" w:eastAsia="文泉驿微米黑" w:hAnsi="文泉驿微米黑" w:cs="Arial Unicode MS"/>
          <w:sz w:val="24"/>
          <w:szCs w:val="24"/>
          <w:highlight w:val="white"/>
        </w:rPr>
        <w:t>为</w:t>
      </w:r>
      <w:r w:rsidRPr="00780196">
        <w:rPr>
          <w:rFonts w:ascii="文泉驿微米黑" w:eastAsia="文泉驿微米黑" w:hAnsi="文泉驿微米黑" w:cs="Arial Unicode MS"/>
          <w:sz w:val="24"/>
          <w:szCs w:val="24"/>
          <w:highlight w:val="white"/>
        </w:rPr>
        <w:t xml:space="preserve"> TiFlash </w:t>
      </w:r>
      <w:r w:rsidRPr="00780196">
        <w:rPr>
          <w:rFonts w:ascii="文泉驿微米黑" w:eastAsia="文泉驿微米黑" w:hAnsi="文泉驿微米黑" w:cs="Arial Unicode MS"/>
          <w:sz w:val="24"/>
          <w:szCs w:val="24"/>
          <w:highlight w:val="white"/>
        </w:rPr>
        <w:t>引入了</w:t>
      </w:r>
      <w:r w:rsidRPr="00780196">
        <w:rPr>
          <w:rFonts w:ascii="文泉驿微米黑" w:eastAsia="文泉驿微米黑" w:hAnsi="文泉驿微米黑" w:cs="Arial Unicode MS"/>
          <w:sz w:val="24"/>
          <w:szCs w:val="24"/>
          <w:highlight w:val="white"/>
        </w:rPr>
        <w:t xml:space="preserve"> MPP </w:t>
      </w:r>
      <w:r w:rsidRPr="00780196">
        <w:rPr>
          <w:rFonts w:ascii="文泉驿微米黑" w:eastAsia="文泉驿微米黑" w:hAnsi="文泉驿微米黑" w:cs="Arial Unicode MS"/>
          <w:sz w:val="24"/>
          <w:szCs w:val="24"/>
          <w:highlight w:val="white"/>
        </w:rPr>
        <w:t>架构。</w:t>
      </w:r>
      <w:r w:rsidRPr="00780196">
        <w:rPr>
          <w:rFonts w:ascii="文泉驿微米黑" w:eastAsia="文泉驿微米黑" w:hAnsi="文泉驿微米黑" w:cs="Arial Unicode MS"/>
          <w:sz w:val="24"/>
          <w:szCs w:val="24"/>
          <w:highlight w:val="white"/>
        </w:rPr>
        <w:t xml:space="preserve">MPP </w:t>
      </w:r>
      <w:r w:rsidRPr="00780196">
        <w:rPr>
          <w:rFonts w:ascii="文泉驿微米黑" w:eastAsia="文泉驿微米黑" w:hAnsi="文泉驿微米黑" w:cs="Arial Unicode MS"/>
          <w:sz w:val="24"/>
          <w:szCs w:val="24"/>
          <w:highlight w:val="white"/>
        </w:rPr>
        <w:t>模式下，</w:t>
      </w:r>
      <w:r w:rsidRPr="00780196">
        <w:rPr>
          <w:rFonts w:ascii="文泉驿微米黑" w:eastAsia="文泉驿微米黑" w:hAnsi="文泉驿微米黑" w:cs="Arial Unicode MS"/>
          <w:sz w:val="24"/>
          <w:szCs w:val="24"/>
          <w:highlight w:val="white"/>
        </w:rPr>
        <w:t xml:space="preserve">TiDB </w:t>
      </w:r>
      <w:r w:rsidRPr="00780196">
        <w:rPr>
          <w:rFonts w:ascii="文泉驿微米黑" w:eastAsia="文泉驿微米黑" w:hAnsi="文泉驿微米黑" w:cs="Arial Unicode MS"/>
          <w:sz w:val="24"/>
          <w:szCs w:val="24"/>
          <w:highlight w:val="white"/>
        </w:rPr>
        <w:t>可以将一个查询的计算下推到</w:t>
      </w:r>
      <w:r w:rsidRPr="00780196">
        <w:rPr>
          <w:rFonts w:ascii="文泉驿微米黑" w:eastAsia="文泉驿微米黑" w:hAnsi="文泉驿微米黑" w:cs="Arial Unicode MS"/>
          <w:sz w:val="24"/>
          <w:szCs w:val="24"/>
          <w:highlight w:val="white"/>
        </w:rPr>
        <w:t xml:space="preserve"> TiFlash MPP </w:t>
      </w:r>
      <w:r w:rsidRPr="00780196">
        <w:rPr>
          <w:rFonts w:ascii="文泉驿微米黑" w:eastAsia="文泉驿微米黑" w:hAnsi="文泉驿微米黑" w:cs="Arial Unicode MS"/>
          <w:sz w:val="24"/>
          <w:szCs w:val="24"/>
          <w:highlight w:val="white"/>
        </w:rPr>
        <w:t>集群，从而借助分布式并行计算加速整个执行过程，大幅度缩短分析查询的执行时间。</w:t>
      </w:r>
    </w:p>
    <w:p w14:paraId="5DFC1709" w14:textId="77777777" w:rsidR="006E5F0C" w:rsidRPr="00780196" w:rsidRDefault="006E5F0C">
      <w:pPr>
        <w:rPr>
          <w:rFonts w:ascii="文泉驿微米黑" w:eastAsia="文泉驿微米黑" w:hAnsi="文泉驿微米黑"/>
          <w:shd w:val="clear" w:color="auto" w:fill="FEFFFF"/>
        </w:rPr>
      </w:pPr>
    </w:p>
    <w:p w14:paraId="2B0CA018" w14:textId="77777777" w:rsidR="006E5F0C" w:rsidRPr="00780196" w:rsidRDefault="00D2464C">
      <w:pPr>
        <w:jc w:val="center"/>
        <w:rPr>
          <w:rFonts w:ascii="文泉驿微米黑" w:eastAsia="文泉驿微米黑" w:hAnsi="文泉驿微米黑"/>
          <w:color w:val="3D85C6"/>
          <w:sz w:val="20"/>
          <w:szCs w:val="20"/>
          <w:shd w:val="clear" w:color="auto" w:fill="FEFFFF"/>
        </w:rPr>
      </w:pPr>
      <w:r w:rsidRPr="00780196">
        <w:rPr>
          <w:rFonts w:ascii="文泉驿微米黑" w:eastAsia="文泉驿微米黑" w:hAnsi="文泉驿微米黑"/>
          <w:noProof/>
          <w:color w:val="3D85C6"/>
          <w:sz w:val="20"/>
          <w:szCs w:val="20"/>
          <w:shd w:val="clear" w:color="auto" w:fill="FEFFFF"/>
        </w:rPr>
        <w:drawing>
          <wp:inline distT="114300" distB="114300" distL="114300" distR="114300" wp14:anchorId="512D7AB4" wp14:editId="58C932CA">
            <wp:extent cx="5731200" cy="34290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1200" cy="3429000"/>
                    </a:xfrm>
                    <a:prstGeom prst="rect">
                      <a:avLst/>
                    </a:prstGeom>
                    <a:ln/>
                  </pic:spPr>
                </pic:pic>
              </a:graphicData>
            </a:graphic>
          </wp:inline>
        </w:drawing>
      </w:r>
    </w:p>
    <w:p w14:paraId="1E667ACF" w14:textId="77777777" w:rsidR="006E5F0C" w:rsidRPr="00780196" w:rsidRDefault="006E5F0C">
      <w:pPr>
        <w:rPr>
          <w:rFonts w:ascii="文泉驿微米黑" w:eastAsia="文泉驿微米黑" w:hAnsi="文泉驿微米黑"/>
          <w:color w:val="3D85C6"/>
          <w:sz w:val="20"/>
          <w:szCs w:val="20"/>
          <w:shd w:val="clear" w:color="auto" w:fill="FEFFFF"/>
        </w:rPr>
      </w:pPr>
    </w:p>
    <w:p w14:paraId="5C82129E" w14:textId="77777777" w:rsidR="006E5F0C" w:rsidRPr="00780196" w:rsidRDefault="00D2464C">
      <w:pPr>
        <w:jc w:val="center"/>
        <w:rPr>
          <w:rFonts w:ascii="文泉驿微米黑" w:eastAsia="文泉驿微米黑" w:hAnsi="文泉驿微米黑"/>
          <w:color w:val="3D85C6"/>
          <w:sz w:val="20"/>
          <w:szCs w:val="20"/>
          <w:shd w:val="clear" w:color="auto" w:fill="FEFFFF"/>
        </w:rPr>
      </w:pPr>
      <w:r w:rsidRPr="00780196">
        <w:rPr>
          <w:rFonts w:ascii="文泉驿微米黑" w:eastAsia="文泉驿微米黑" w:hAnsi="文泉驿微米黑" w:cs="Arial Unicode MS"/>
          <w:color w:val="3D85C6"/>
          <w:sz w:val="20"/>
          <w:szCs w:val="20"/>
          <w:shd w:val="clear" w:color="auto" w:fill="FEFFFF"/>
        </w:rPr>
        <w:t xml:space="preserve">TiFlash </w:t>
      </w:r>
      <w:r w:rsidRPr="00780196">
        <w:rPr>
          <w:rFonts w:ascii="文泉驿微米黑" w:eastAsia="文泉驿微米黑" w:hAnsi="文泉驿微米黑" w:cs="Arial Unicode MS"/>
          <w:color w:val="3D85C6"/>
          <w:sz w:val="20"/>
          <w:szCs w:val="20"/>
          <w:shd w:val="clear" w:color="auto" w:fill="FEFFFF"/>
        </w:rPr>
        <w:t>架构图</w:t>
      </w:r>
    </w:p>
    <w:p w14:paraId="051112D1" w14:textId="77777777" w:rsidR="006E5F0C" w:rsidRPr="00780196" w:rsidRDefault="006E5F0C">
      <w:pPr>
        <w:shd w:val="clear" w:color="auto" w:fill="FFFFFF"/>
        <w:spacing w:before="60" w:after="480" w:line="360" w:lineRule="auto"/>
        <w:rPr>
          <w:rFonts w:ascii="文泉驿微米黑" w:eastAsia="文泉驿微米黑" w:hAnsi="文泉驿微米黑"/>
        </w:rPr>
      </w:pPr>
    </w:p>
    <w:p w14:paraId="7B0B801D" w14:textId="77777777" w:rsidR="006E5F0C" w:rsidRPr="00780196" w:rsidRDefault="00D2464C">
      <w:pPr>
        <w:pStyle w:val="1"/>
        <w:rPr>
          <w:rFonts w:ascii="文泉驿微米黑" w:eastAsia="文泉驿微米黑" w:hAnsi="文泉驿微米黑" w:cs="Helvetica Neue"/>
        </w:rPr>
      </w:pPr>
      <w:bookmarkStart w:id="20" w:name="_opqggy2wvtg" w:colFirst="0" w:colLast="0"/>
      <w:bookmarkEnd w:id="20"/>
      <w:r w:rsidRPr="00780196">
        <w:rPr>
          <w:rFonts w:ascii="文泉驿微米黑" w:eastAsia="文泉驿微米黑" w:hAnsi="文泉驿微米黑" w:cs="Arial Unicode MS"/>
        </w:rPr>
        <w:t>基本概念</w:t>
      </w:r>
    </w:p>
    <w:p w14:paraId="033ECE7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ACID</w:t>
      </w:r>
    </w:p>
    <w:p w14:paraId="1B83CE34"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 xml:space="preserve">ACID </w:t>
      </w:r>
      <w:r w:rsidRPr="00780196">
        <w:rPr>
          <w:rFonts w:ascii="文泉驿微米黑" w:eastAsia="文泉驿微米黑" w:hAnsi="文泉驿微米黑" w:cs="Arial Unicode MS"/>
          <w:color w:val="30323E"/>
          <w:sz w:val="24"/>
          <w:szCs w:val="24"/>
        </w:rPr>
        <w:t>是指数据库管理系统在写入或更新资料的过程中，为保证事务是正确可靠的，所必须具备的四个特性：原子性</w:t>
      </w:r>
      <w:r w:rsidRPr="00780196">
        <w:rPr>
          <w:rFonts w:ascii="文泉驿微米黑" w:eastAsia="文泉驿微米黑" w:hAnsi="文泉驿微米黑" w:cs="Arial Unicode MS"/>
          <w:color w:val="30323E"/>
          <w:sz w:val="24"/>
          <w:szCs w:val="24"/>
        </w:rPr>
        <w:t xml:space="preserve"> (atomicity)</w:t>
      </w:r>
      <w:r w:rsidRPr="00780196">
        <w:rPr>
          <w:rFonts w:ascii="文泉驿微米黑" w:eastAsia="文泉驿微米黑" w:hAnsi="文泉驿微米黑" w:cs="Arial Unicode MS"/>
          <w:color w:val="30323E"/>
          <w:sz w:val="24"/>
          <w:szCs w:val="24"/>
        </w:rPr>
        <w:t>、一致性</w:t>
      </w:r>
      <w:r w:rsidRPr="00780196">
        <w:rPr>
          <w:rFonts w:ascii="文泉驿微米黑" w:eastAsia="文泉驿微米黑" w:hAnsi="文泉驿微米黑" w:cs="Arial Unicode MS"/>
          <w:color w:val="30323E"/>
          <w:sz w:val="24"/>
          <w:szCs w:val="24"/>
        </w:rPr>
        <w:t xml:space="preserve"> (consistency)</w:t>
      </w:r>
      <w:r w:rsidRPr="00780196">
        <w:rPr>
          <w:rFonts w:ascii="文泉驿微米黑" w:eastAsia="文泉驿微米黑" w:hAnsi="文泉驿微米黑" w:cs="Arial Unicode MS"/>
          <w:color w:val="30323E"/>
          <w:sz w:val="24"/>
          <w:szCs w:val="24"/>
        </w:rPr>
        <w:t>、隔离性（</w:t>
      </w:r>
      <w:r w:rsidRPr="00780196">
        <w:rPr>
          <w:rFonts w:ascii="文泉驿微米黑" w:eastAsia="文泉驿微米黑" w:hAnsi="文泉驿微米黑" w:cs="Arial Unicode MS"/>
          <w:color w:val="30323E"/>
          <w:sz w:val="24"/>
          <w:szCs w:val="24"/>
        </w:rPr>
        <w:t>isolation</w:t>
      </w:r>
      <w:r w:rsidRPr="00780196">
        <w:rPr>
          <w:rFonts w:ascii="文泉驿微米黑" w:eastAsia="文泉驿微米黑" w:hAnsi="文泉驿微米黑" w:cs="Arial Unicode MS"/>
          <w:color w:val="30323E"/>
          <w:sz w:val="24"/>
          <w:szCs w:val="24"/>
        </w:rPr>
        <w:t>）以及持久性（</w:t>
      </w:r>
      <w:r w:rsidRPr="00780196">
        <w:rPr>
          <w:rFonts w:ascii="文泉驿微米黑" w:eastAsia="文泉驿微米黑" w:hAnsi="文泉驿微米黑" w:cs="Arial Unicode MS"/>
          <w:color w:val="30323E"/>
          <w:sz w:val="24"/>
          <w:szCs w:val="24"/>
        </w:rPr>
        <w:t>durability</w:t>
      </w:r>
      <w:r w:rsidRPr="00780196">
        <w:rPr>
          <w:rFonts w:ascii="文泉驿微米黑" w:eastAsia="文泉驿微米黑" w:hAnsi="文泉驿微米黑" w:cs="Arial Unicode MS"/>
          <w:color w:val="30323E"/>
          <w:sz w:val="24"/>
          <w:szCs w:val="24"/>
        </w:rPr>
        <w:t>）。</w:t>
      </w:r>
    </w:p>
    <w:p w14:paraId="2A8A56FE"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lastRenderedPageBreak/>
        <w:t>原子性</w:t>
      </w:r>
      <w:r w:rsidRPr="00780196">
        <w:rPr>
          <w:rFonts w:ascii="文泉驿微米黑" w:eastAsia="文泉驿微米黑" w:hAnsi="文泉驿微米黑" w:cs="Arial Unicode MS"/>
          <w:color w:val="30323E"/>
          <w:sz w:val="24"/>
          <w:szCs w:val="24"/>
        </w:rPr>
        <w:t xml:space="preserve"> (atomicity) </w:t>
      </w:r>
      <w:r w:rsidRPr="00780196">
        <w:rPr>
          <w:rFonts w:ascii="文泉驿微米黑" w:eastAsia="文泉驿微米黑" w:hAnsi="文泉驿微米黑" w:cs="Arial Unicode MS"/>
          <w:color w:val="30323E"/>
          <w:sz w:val="24"/>
          <w:szCs w:val="24"/>
        </w:rPr>
        <w:t>指一个事务中的所有操作，或者全部完成，或者全部不完成，不会结束在中间某个环节。</w:t>
      </w:r>
      <w:r w:rsidRPr="00780196">
        <w:rPr>
          <w:rFonts w:ascii="文泉驿微米黑" w:eastAsia="文泉驿微米黑" w:hAnsi="文泉驿微米黑" w:cs="Arial Unicode MS"/>
          <w:color w:val="30323E"/>
          <w:sz w:val="24"/>
          <w:szCs w:val="24"/>
        </w:rPr>
        <w:t xml:space="preserve">TiDB </w:t>
      </w:r>
      <w:r w:rsidRPr="00780196">
        <w:rPr>
          <w:rFonts w:ascii="文泉驿微米黑" w:eastAsia="文泉驿微米黑" w:hAnsi="文泉驿微米黑" w:cs="Arial Unicode MS"/>
          <w:color w:val="30323E"/>
          <w:sz w:val="24"/>
          <w:szCs w:val="24"/>
        </w:rPr>
        <w:t>通过</w:t>
      </w:r>
      <w:r w:rsidRPr="00780196">
        <w:rPr>
          <w:rFonts w:ascii="文泉驿微米黑" w:eastAsia="文泉驿微米黑" w:hAnsi="文泉驿微米黑" w:cs="Arial Unicode MS"/>
          <w:color w:val="30323E"/>
          <w:sz w:val="24"/>
          <w:szCs w:val="24"/>
        </w:rPr>
        <w:t xml:space="preserve"> Primary Key </w:t>
      </w:r>
      <w:r w:rsidRPr="00780196">
        <w:rPr>
          <w:rFonts w:ascii="文泉驿微米黑" w:eastAsia="文泉驿微米黑" w:hAnsi="文泉驿微米黑" w:cs="Arial Unicode MS"/>
          <w:color w:val="30323E"/>
          <w:sz w:val="24"/>
          <w:szCs w:val="24"/>
        </w:rPr>
        <w:t>所在</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的原子性来保证分布式事务的原子性。</w:t>
      </w:r>
    </w:p>
    <w:p w14:paraId="18381E4D"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一致性</w:t>
      </w:r>
      <w:r w:rsidRPr="00780196">
        <w:rPr>
          <w:rFonts w:ascii="文泉驿微米黑" w:eastAsia="文泉驿微米黑" w:hAnsi="文泉驿微米黑" w:cs="Arial Unicode MS"/>
          <w:color w:val="30323E"/>
          <w:sz w:val="24"/>
          <w:szCs w:val="24"/>
        </w:rPr>
        <w:t xml:space="preserve"> (consistency) </w:t>
      </w:r>
      <w:r w:rsidRPr="00780196">
        <w:rPr>
          <w:rFonts w:ascii="文泉驿微米黑" w:eastAsia="文泉驿微米黑" w:hAnsi="文泉驿微米黑" w:cs="Arial Unicode MS"/>
          <w:color w:val="30323E"/>
          <w:sz w:val="24"/>
          <w:szCs w:val="24"/>
        </w:rPr>
        <w:t>指在事务开始之前和结束以后，数据库的</w:t>
      </w:r>
      <w:r w:rsidRPr="00780196">
        <w:rPr>
          <w:rFonts w:ascii="文泉驿微米黑" w:eastAsia="文泉驿微米黑" w:hAnsi="文泉驿微米黑" w:cs="Arial Unicode MS"/>
          <w:color w:val="30323E"/>
          <w:sz w:val="24"/>
          <w:szCs w:val="24"/>
        </w:rPr>
        <w:t>完整性没有被破坏。</w:t>
      </w:r>
      <w:r w:rsidRPr="00780196">
        <w:rPr>
          <w:rFonts w:ascii="文泉驿微米黑" w:eastAsia="文泉驿微米黑" w:hAnsi="文泉驿微米黑" w:cs="Arial Unicode MS"/>
          <w:color w:val="30323E"/>
          <w:sz w:val="24"/>
          <w:szCs w:val="24"/>
        </w:rPr>
        <w:t xml:space="preserve">TiDB </w:t>
      </w:r>
      <w:r w:rsidRPr="00780196">
        <w:rPr>
          <w:rFonts w:ascii="文泉驿微米黑" w:eastAsia="文泉驿微米黑" w:hAnsi="文泉驿微米黑" w:cs="Arial Unicode MS"/>
          <w:color w:val="30323E"/>
          <w:sz w:val="24"/>
          <w:szCs w:val="24"/>
        </w:rPr>
        <w:t>在写入数据之前，会校验数据的一致性，校验通过才会写入内存并返回成功。</w:t>
      </w:r>
    </w:p>
    <w:p w14:paraId="3BEF2326"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隔离性</w:t>
      </w:r>
      <w:r w:rsidRPr="00780196">
        <w:rPr>
          <w:rFonts w:ascii="文泉驿微米黑" w:eastAsia="文泉驿微米黑" w:hAnsi="文泉驿微米黑" w:cs="Arial Unicode MS"/>
          <w:color w:val="30323E"/>
          <w:sz w:val="24"/>
          <w:szCs w:val="24"/>
        </w:rPr>
        <w:t xml:space="preserve"> (isolation) </w:t>
      </w:r>
      <w:r w:rsidRPr="00780196">
        <w:rPr>
          <w:rFonts w:ascii="文泉驿微米黑" w:eastAsia="文泉驿微米黑" w:hAnsi="文泉驿微米黑" w:cs="Arial Unicode MS"/>
          <w:color w:val="30323E"/>
          <w:sz w:val="24"/>
          <w:szCs w:val="24"/>
        </w:rPr>
        <w:t>指数据库允许多个并发事务同时对其数据进行读写和修改的能力。隔离性可以防止多个事务并发执行时由于交叉执行而导致数据的不一致，主要用于处理并发场景。</w:t>
      </w:r>
      <w:r w:rsidRPr="00780196">
        <w:rPr>
          <w:rFonts w:ascii="文泉驿微米黑" w:eastAsia="文泉驿微米黑" w:hAnsi="文泉驿微米黑" w:cs="Arial Unicode MS"/>
          <w:color w:val="30323E"/>
          <w:sz w:val="24"/>
          <w:szCs w:val="24"/>
        </w:rPr>
        <w:t xml:space="preserve">TiDB </w:t>
      </w:r>
      <w:r w:rsidRPr="00780196">
        <w:rPr>
          <w:rFonts w:ascii="文泉驿微米黑" w:eastAsia="文泉驿微米黑" w:hAnsi="文泉驿微米黑" w:cs="Arial Unicode MS"/>
          <w:color w:val="30323E"/>
          <w:sz w:val="24"/>
          <w:szCs w:val="24"/>
        </w:rPr>
        <w:t>目前只支持一种隔离级别，即可重复读。</w:t>
      </w:r>
    </w:p>
    <w:p w14:paraId="602444F7" w14:textId="77777777" w:rsidR="006E5F0C" w:rsidRPr="00780196" w:rsidRDefault="00D2464C">
      <w:pPr>
        <w:numPr>
          <w:ilvl w:val="0"/>
          <w:numId w:val="3"/>
        </w:numPr>
        <w:shd w:val="clear" w:color="auto" w:fill="FFFFFF"/>
        <w:spacing w:after="480"/>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持久性</w:t>
      </w:r>
      <w:r w:rsidRPr="00780196">
        <w:rPr>
          <w:rFonts w:ascii="文泉驿微米黑" w:eastAsia="文泉驿微米黑" w:hAnsi="文泉驿微米黑" w:cs="Arial Unicode MS"/>
          <w:color w:val="30323E"/>
          <w:sz w:val="24"/>
          <w:szCs w:val="24"/>
        </w:rPr>
        <w:t xml:space="preserve"> (durability) </w:t>
      </w:r>
      <w:r w:rsidRPr="00780196">
        <w:rPr>
          <w:rFonts w:ascii="文泉驿微米黑" w:eastAsia="文泉驿微米黑" w:hAnsi="文泉驿微米黑" w:cs="Arial Unicode MS"/>
          <w:color w:val="30323E"/>
          <w:sz w:val="24"/>
          <w:szCs w:val="24"/>
        </w:rPr>
        <w:t>指事务处理结束后，对数据的修改就是永久的，即便系统故障也不会丢失。在</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中，事务一旦提交成功，数据全部持久化存储到</w:t>
      </w:r>
      <w:r w:rsidRPr="00780196">
        <w:rPr>
          <w:rFonts w:ascii="文泉驿微米黑" w:eastAsia="文泉驿微米黑" w:hAnsi="文泉驿微米黑" w:cs="Arial Unicode MS"/>
          <w:color w:val="30323E"/>
          <w:sz w:val="24"/>
          <w:szCs w:val="24"/>
        </w:rPr>
        <w:t xml:space="preserve"> TiKV</w:t>
      </w:r>
      <w:r w:rsidRPr="00780196">
        <w:rPr>
          <w:rFonts w:ascii="文泉驿微米黑" w:eastAsia="文泉驿微米黑" w:hAnsi="文泉驿微米黑" w:cs="Arial Unicode MS"/>
          <w:color w:val="30323E"/>
          <w:sz w:val="24"/>
          <w:szCs w:val="24"/>
        </w:rPr>
        <w:t>，此时即使</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服</w:t>
      </w:r>
      <w:r w:rsidRPr="00780196">
        <w:rPr>
          <w:rFonts w:ascii="文泉驿微米黑" w:eastAsia="文泉驿微米黑" w:hAnsi="文泉驿微米黑" w:cs="Arial Unicode MS"/>
          <w:color w:val="30323E"/>
          <w:sz w:val="24"/>
          <w:szCs w:val="24"/>
        </w:rPr>
        <w:t>务器</w:t>
      </w:r>
      <w:proofErr w:type="gramStart"/>
      <w:r w:rsidRPr="00780196">
        <w:rPr>
          <w:rFonts w:ascii="文泉驿微米黑" w:eastAsia="文泉驿微米黑" w:hAnsi="文泉驿微米黑" w:cs="Arial Unicode MS"/>
          <w:color w:val="30323E"/>
          <w:sz w:val="24"/>
          <w:szCs w:val="24"/>
        </w:rPr>
        <w:t>宕</w:t>
      </w:r>
      <w:proofErr w:type="gramEnd"/>
      <w:r w:rsidRPr="00780196">
        <w:rPr>
          <w:rFonts w:ascii="文泉驿微米黑" w:eastAsia="文泉驿微米黑" w:hAnsi="文泉驿微米黑" w:cs="Arial Unicode MS"/>
          <w:color w:val="30323E"/>
          <w:sz w:val="24"/>
          <w:szCs w:val="24"/>
        </w:rPr>
        <w:t>机也不会出现数据丢失。</w:t>
      </w:r>
    </w:p>
    <w:p w14:paraId="6A76A19A" w14:textId="77777777" w:rsidR="006E5F0C" w:rsidRPr="00780196" w:rsidRDefault="00D2464C">
      <w:pPr>
        <w:shd w:val="clear" w:color="auto" w:fill="FFFFFF"/>
        <w:spacing w:before="60" w:after="480"/>
        <w:rPr>
          <w:rFonts w:ascii="文泉驿微米黑" w:eastAsia="文泉驿微米黑" w:hAnsi="文泉驿微米黑" w:cs="Helvetica Neue"/>
          <w:b/>
          <w:color w:val="30323E"/>
          <w:sz w:val="24"/>
          <w:szCs w:val="24"/>
        </w:rPr>
      </w:pPr>
      <w:r w:rsidRPr="00780196">
        <w:rPr>
          <w:rFonts w:ascii="文泉驿微米黑" w:eastAsia="文泉驿微米黑" w:hAnsi="文泉驿微米黑" w:cs="Helvetica Neue"/>
          <w:b/>
          <w:color w:val="30323E"/>
          <w:sz w:val="24"/>
          <w:szCs w:val="24"/>
        </w:rPr>
        <w:t>GC</w:t>
      </w:r>
    </w:p>
    <w:p w14:paraId="64228409" w14:textId="77777777" w:rsidR="006E5F0C" w:rsidRPr="00780196" w:rsidRDefault="00D2464C">
      <w:pPr>
        <w:shd w:val="clear" w:color="auto" w:fill="FFFFFF"/>
        <w:spacing w:before="60" w:after="48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highlight w:val="white"/>
        </w:rPr>
        <w:t xml:space="preserve">TiDB </w:t>
      </w:r>
      <w:r w:rsidRPr="00780196">
        <w:rPr>
          <w:rFonts w:ascii="文泉驿微米黑" w:eastAsia="文泉驿微米黑" w:hAnsi="文泉驿微米黑" w:cs="Arial Unicode MS"/>
          <w:color w:val="30323E"/>
          <w:sz w:val="24"/>
          <w:szCs w:val="24"/>
          <w:highlight w:val="white"/>
        </w:rPr>
        <w:t>的事务的实现采用了</w:t>
      </w:r>
      <w:r w:rsidRPr="00780196">
        <w:rPr>
          <w:rFonts w:ascii="文泉驿微米黑" w:eastAsia="文泉驿微米黑" w:hAnsi="文泉驿微米黑" w:cs="Arial Unicode MS"/>
          <w:color w:val="30323E"/>
          <w:sz w:val="24"/>
          <w:szCs w:val="24"/>
          <w:highlight w:val="white"/>
        </w:rPr>
        <w:t xml:space="preserve"> MVCC</w:t>
      </w:r>
      <w:r w:rsidRPr="00780196">
        <w:rPr>
          <w:rFonts w:ascii="文泉驿微米黑" w:eastAsia="文泉驿微米黑" w:hAnsi="文泉驿微米黑" w:cs="Arial Unicode MS"/>
          <w:color w:val="30323E"/>
          <w:sz w:val="24"/>
          <w:szCs w:val="24"/>
          <w:highlight w:val="white"/>
        </w:rPr>
        <w:t>（多版本并发控制）机制，当新写入的数据覆盖旧的数据时，旧的数据不会被替换掉，而是与新写入的数据同时保留，并以时间戳来区分版本。</w:t>
      </w:r>
      <w:r w:rsidRPr="00780196">
        <w:rPr>
          <w:rFonts w:ascii="文泉驿微米黑" w:eastAsia="文泉驿微米黑" w:hAnsi="文泉驿微米黑" w:cs="Arial Unicode MS"/>
          <w:color w:val="30323E"/>
          <w:sz w:val="24"/>
          <w:szCs w:val="24"/>
          <w:highlight w:val="white"/>
        </w:rPr>
        <w:t xml:space="preserve">GC </w:t>
      </w:r>
      <w:r w:rsidRPr="00780196">
        <w:rPr>
          <w:rFonts w:ascii="文泉驿微米黑" w:eastAsia="文泉驿微米黑" w:hAnsi="文泉驿微米黑" w:cs="Arial Unicode MS"/>
          <w:color w:val="30323E"/>
          <w:sz w:val="24"/>
          <w:szCs w:val="24"/>
          <w:highlight w:val="white"/>
        </w:rPr>
        <w:t>的任务便是清理不再需要的旧数据。</w:t>
      </w:r>
    </w:p>
    <w:p w14:paraId="1B30271C"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Helvetica Neue"/>
          <w:b/>
        </w:rPr>
        <w:t>MVCC</w:t>
      </w:r>
    </w:p>
    <w:p w14:paraId="21592ED9"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Multiversion Concurrency Control</w:t>
      </w:r>
      <w:r w:rsidRPr="00780196">
        <w:rPr>
          <w:rFonts w:ascii="文泉驿微米黑" w:eastAsia="文泉驿微米黑" w:hAnsi="文泉驿微米黑" w:cs="Arial Unicode MS"/>
          <w:color w:val="30323E"/>
          <w:sz w:val="24"/>
          <w:szCs w:val="24"/>
        </w:rPr>
        <w:t>，简称</w:t>
      </w:r>
      <w:r w:rsidRPr="00780196">
        <w:rPr>
          <w:rFonts w:ascii="文泉驿微米黑" w:eastAsia="文泉驿微米黑" w:hAnsi="文泉驿微米黑" w:cs="Arial Unicode MS"/>
          <w:color w:val="30323E"/>
          <w:sz w:val="24"/>
          <w:szCs w:val="24"/>
        </w:rPr>
        <w:t xml:space="preserve"> MVCC</w:t>
      </w:r>
      <w:r w:rsidRPr="00780196">
        <w:rPr>
          <w:rFonts w:ascii="文泉驿微米黑" w:eastAsia="文泉驿微米黑" w:hAnsi="文泉驿微米黑" w:cs="Arial Unicode MS"/>
          <w:color w:val="30323E"/>
          <w:sz w:val="24"/>
          <w:szCs w:val="24"/>
        </w:rPr>
        <w:t>。</w:t>
      </w:r>
      <w:r w:rsidRPr="00780196">
        <w:rPr>
          <w:rFonts w:ascii="文泉驿微米黑" w:eastAsia="文泉驿微米黑" w:hAnsi="文泉驿微米黑" w:cs="Arial Unicode MS"/>
          <w:color w:val="30323E"/>
          <w:sz w:val="24"/>
          <w:szCs w:val="24"/>
        </w:rPr>
        <w:t>MVCC</w:t>
      </w:r>
      <w:r w:rsidRPr="00780196">
        <w:rPr>
          <w:rFonts w:ascii="文泉驿微米黑" w:eastAsia="文泉驿微米黑" w:hAnsi="文泉驿微米黑" w:cs="Arial Unicode MS"/>
          <w:color w:val="30323E"/>
          <w:sz w:val="24"/>
          <w:szCs w:val="24"/>
        </w:rPr>
        <w:t>意图解决</w:t>
      </w:r>
      <w:hyperlink r:id="rId15">
        <w:r w:rsidRPr="00780196">
          <w:rPr>
            <w:rFonts w:ascii="文泉驿微米黑" w:eastAsia="文泉驿微米黑" w:hAnsi="文泉驿微米黑" w:cs="Helvetica Neue"/>
            <w:color w:val="30323E"/>
            <w:sz w:val="24"/>
            <w:szCs w:val="24"/>
          </w:rPr>
          <w:t>读写锁</w:t>
        </w:r>
      </w:hyperlink>
      <w:r w:rsidRPr="00780196">
        <w:rPr>
          <w:rFonts w:ascii="文泉驿微米黑" w:eastAsia="文泉驿微米黑" w:hAnsi="文泉驿微米黑" w:cs="Arial Unicode MS"/>
          <w:color w:val="30323E"/>
          <w:sz w:val="24"/>
          <w:szCs w:val="24"/>
        </w:rPr>
        <w:t>造成的多个、长时间的读操作</w:t>
      </w:r>
      <w:proofErr w:type="gramStart"/>
      <w:r w:rsidRPr="00780196">
        <w:rPr>
          <w:rFonts w:ascii="文泉驿微米黑" w:eastAsia="文泉驿微米黑" w:hAnsi="文泉驿微米黑" w:cs="Arial Unicode MS"/>
          <w:color w:val="30323E"/>
          <w:sz w:val="24"/>
          <w:szCs w:val="24"/>
        </w:rPr>
        <w:t>饿死写</w:t>
      </w:r>
      <w:proofErr w:type="gramEnd"/>
      <w:r w:rsidRPr="00780196">
        <w:rPr>
          <w:rFonts w:ascii="文泉驿微米黑" w:eastAsia="文泉驿微米黑" w:hAnsi="文泉驿微米黑" w:cs="Arial Unicode MS"/>
          <w:color w:val="30323E"/>
          <w:sz w:val="24"/>
          <w:szCs w:val="24"/>
        </w:rPr>
        <w:t>操作问题。每个事务读到的数据项都是一个历史</w:t>
      </w:r>
      <w:hyperlink r:id="rId16">
        <w:r w:rsidRPr="00780196">
          <w:rPr>
            <w:rFonts w:ascii="文泉驿微米黑" w:eastAsia="文泉驿微米黑" w:hAnsi="文泉驿微米黑" w:cs="Helvetica Neue"/>
            <w:color w:val="30323E"/>
            <w:sz w:val="24"/>
            <w:szCs w:val="24"/>
          </w:rPr>
          <w:t>快照</w:t>
        </w:r>
      </w:hyperlink>
      <w:r w:rsidRPr="00780196">
        <w:rPr>
          <w:rFonts w:ascii="文泉驿微米黑" w:eastAsia="文泉驿微米黑" w:hAnsi="文泉驿微米黑" w:cs="Arial Unicode MS"/>
          <w:color w:val="30323E"/>
          <w:sz w:val="24"/>
          <w:szCs w:val="24"/>
        </w:rPr>
        <w:t>，并依赖于实现的</w:t>
      </w:r>
      <w:hyperlink r:id="rId17">
        <w:r w:rsidRPr="00780196">
          <w:rPr>
            <w:rFonts w:ascii="文泉驿微米黑" w:eastAsia="文泉驿微米黑" w:hAnsi="文泉驿微米黑" w:cs="Helvetica Neue"/>
            <w:color w:val="30323E"/>
            <w:sz w:val="24"/>
            <w:szCs w:val="24"/>
          </w:rPr>
          <w:t>隔离级别</w:t>
        </w:r>
      </w:hyperlink>
      <w:r w:rsidRPr="00780196">
        <w:rPr>
          <w:rFonts w:ascii="文泉驿微米黑" w:eastAsia="文泉驿微米黑" w:hAnsi="文泉驿微米黑" w:cs="Arial Unicode MS"/>
          <w:color w:val="30323E"/>
          <w:sz w:val="24"/>
          <w:szCs w:val="24"/>
        </w:rPr>
        <w:t>。写操作不覆盖已有数据项，而是创建一个新的版本，直至所在操作提交时才变为可见。</w:t>
      </w:r>
      <w:hyperlink r:id="rId18">
        <w:r w:rsidRPr="00780196">
          <w:rPr>
            <w:rFonts w:ascii="文泉驿微米黑" w:eastAsia="文泉驿微米黑" w:hAnsi="文泉驿微米黑" w:cs="Helvetica Neue"/>
            <w:color w:val="30323E"/>
            <w:sz w:val="24"/>
            <w:szCs w:val="24"/>
          </w:rPr>
          <w:t>快照隔离</w:t>
        </w:r>
      </w:hyperlink>
      <w:r w:rsidRPr="00780196">
        <w:rPr>
          <w:rFonts w:ascii="文泉驿微米黑" w:eastAsia="文泉驿微米黑" w:hAnsi="文泉驿微米黑" w:cs="Arial Unicode MS"/>
          <w:color w:val="30323E"/>
          <w:sz w:val="24"/>
          <w:szCs w:val="24"/>
        </w:rPr>
        <w:t>使得事务看到它启动时的数据状态</w:t>
      </w:r>
      <w:r w:rsidRPr="00780196">
        <w:rPr>
          <w:rFonts w:ascii="文泉驿微米黑" w:eastAsia="文泉驿微米黑" w:hAnsi="文泉驿微米黑" w:cs="Arial Unicode MS"/>
          <w:color w:val="202122"/>
          <w:sz w:val="23"/>
          <w:szCs w:val="23"/>
          <w:highlight w:val="white"/>
        </w:rPr>
        <w:t>。</w:t>
      </w:r>
    </w:p>
    <w:p w14:paraId="7566EDD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PD Server</w:t>
      </w:r>
    </w:p>
    <w:p w14:paraId="08BFDF27" w14:textId="77777777" w:rsidR="006E5F0C" w:rsidRPr="00780196" w:rsidRDefault="00D2464C">
      <w:pPr>
        <w:shd w:val="clear" w:color="auto" w:fill="FFFFFF"/>
        <w:spacing w:before="60" w:after="480"/>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PD (Placement Driver) Server</w:t>
      </w:r>
      <w:r w:rsidRPr="00780196">
        <w:rPr>
          <w:rFonts w:ascii="文泉驿微米黑" w:eastAsia="文泉驿微米黑" w:hAnsi="文泉驿微米黑" w:cs="Arial Unicode MS"/>
          <w:color w:val="30323E"/>
          <w:sz w:val="24"/>
          <w:szCs w:val="24"/>
        </w:rPr>
        <w:t>：整个</w:t>
      </w:r>
      <w:r w:rsidRPr="00780196">
        <w:rPr>
          <w:rFonts w:ascii="文泉驿微米黑" w:eastAsia="文泉驿微米黑" w:hAnsi="文泉驿微米黑" w:cs="Arial Unicode MS"/>
          <w:color w:val="30323E"/>
          <w:sz w:val="24"/>
          <w:szCs w:val="24"/>
        </w:rPr>
        <w:t xml:space="preserve"> Ti</w:t>
      </w:r>
      <w:r w:rsidRPr="00780196">
        <w:rPr>
          <w:rFonts w:ascii="文泉驿微米黑" w:eastAsia="文泉驿微米黑" w:hAnsi="文泉驿微米黑" w:cs="Arial Unicode MS"/>
          <w:color w:val="30323E"/>
          <w:sz w:val="24"/>
          <w:szCs w:val="24"/>
        </w:rPr>
        <w:t xml:space="preserve">DB </w:t>
      </w:r>
      <w:r w:rsidRPr="00780196">
        <w:rPr>
          <w:rFonts w:ascii="文泉驿微米黑" w:eastAsia="文泉驿微米黑" w:hAnsi="文泉驿微米黑" w:cs="Arial Unicode MS"/>
          <w:color w:val="30323E"/>
          <w:sz w:val="24"/>
          <w:szCs w:val="24"/>
        </w:rPr>
        <w:t>集群的元信息管理模块，负责存储每个</w:t>
      </w:r>
      <w:r w:rsidRPr="00780196">
        <w:rPr>
          <w:rFonts w:ascii="文泉驿微米黑" w:eastAsia="文泉驿微米黑" w:hAnsi="文泉驿微米黑" w:cs="Arial Unicode MS"/>
          <w:color w:val="30323E"/>
          <w:sz w:val="24"/>
          <w:szCs w:val="24"/>
        </w:rPr>
        <w:t xml:space="preserve"> TiKV </w:t>
      </w:r>
      <w:r w:rsidRPr="00780196">
        <w:rPr>
          <w:rFonts w:ascii="文泉驿微米黑" w:eastAsia="文泉驿微米黑" w:hAnsi="文泉驿微米黑" w:cs="Arial Unicode MS"/>
          <w:color w:val="30323E"/>
          <w:sz w:val="24"/>
          <w:szCs w:val="24"/>
        </w:rPr>
        <w:t>节点实时的数据分布情况和集群的整体拓扑结构，提供</w:t>
      </w:r>
      <w:r w:rsidRPr="00780196">
        <w:rPr>
          <w:rFonts w:ascii="文泉驿微米黑" w:eastAsia="文泉驿微米黑" w:hAnsi="文泉驿微米黑" w:cs="Arial Unicode MS"/>
          <w:color w:val="30323E"/>
          <w:sz w:val="24"/>
          <w:szCs w:val="24"/>
        </w:rPr>
        <w:t xml:space="preserve"> TiDB Dashboard </w:t>
      </w:r>
      <w:r w:rsidRPr="00780196">
        <w:rPr>
          <w:rFonts w:ascii="文泉驿微米黑" w:eastAsia="文泉驿微米黑" w:hAnsi="文泉驿微米黑" w:cs="Arial Unicode MS"/>
          <w:color w:val="30323E"/>
          <w:sz w:val="24"/>
          <w:szCs w:val="24"/>
        </w:rPr>
        <w:t>管控界面，并为分布式事务分配事务</w:t>
      </w:r>
      <w:r w:rsidRPr="00780196">
        <w:rPr>
          <w:rFonts w:ascii="文泉驿微米黑" w:eastAsia="文泉驿微米黑" w:hAnsi="文泉驿微米黑" w:cs="Arial Unicode MS"/>
          <w:color w:val="30323E"/>
          <w:sz w:val="24"/>
          <w:szCs w:val="24"/>
        </w:rPr>
        <w:t xml:space="preserve"> ID</w:t>
      </w:r>
      <w:r w:rsidRPr="00780196">
        <w:rPr>
          <w:rFonts w:ascii="文泉驿微米黑" w:eastAsia="文泉驿微米黑" w:hAnsi="文泉驿微米黑" w:cs="Arial Unicode MS"/>
          <w:color w:val="30323E"/>
          <w:sz w:val="24"/>
          <w:szCs w:val="24"/>
        </w:rPr>
        <w:t>。</w:t>
      </w:r>
    </w:p>
    <w:p w14:paraId="43E0808F"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Region/Peer/Raft Group</w:t>
      </w:r>
    </w:p>
    <w:p w14:paraId="16B0B9EE"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Arial Unicode MS"/>
          <w:color w:val="30323E"/>
          <w:sz w:val="24"/>
          <w:szCs w:val="24"/>
          <w:highlight w:val="white"/>
        </w:rPr>
        <w:lastRenderedPageBreak/>
        <w:t xml:space="preserve">TiKV Server </w:t>
      </w:r>
      <w:r w:rsidRPr="00780196">
        <w:rPr>
          <w:rFonts w:ascii="文泉驿微米黑" w:eastAsia="文泉驿微米黑" w:hAnsi="文泉驿微米黑" w:cs="Arial Unicode MS"/>
          <w:color w:val="30323E"/>
          <w:sz w:val="24"/>
          <w:szCs w:val="24"/>
          <w:highlight w:val="white"/>
        </w:rPr>
        <w:t>存储数据的基本单位是</w:t>
      </w:r>
      <w:r w:rsidRPr="00780196">
        <w:rPr>
          <w:rFonts w:ascii="文泉驿微米黑" w:eastAsia="文泉驿微米黑" w:hAnsi="文泉驿微米黑" w:cs="Arial Unicode MS"/>
          <w:color w:val="30323E"/>
          <w:sz w:val="24"/>
          <w:szCs w:val="24"/>
          <w:highlight w:val="white"/>
        </w:rPr>
        <w:t xml:space="preserve"> Region</w:t>
      </w:r>
      <w:r w:rsidRPr="00780196">
        <w:rPr>
          <w:rFonts w:ascii="文泉驿微米黑" w:eastAsia="文泉驿微米黑" w:hAnsi="文泉驿微米黑" w:cs="Arial Unicode MS"/>
          <w:color w:val="30323E"/>
          <w:sz w:val="24"/>
          <w:szCs w:val="24"/>
          <w:highlight w:val="white"/>
        </w:rPr>
        <w:t>，每个</w:t>
      </w:r>
      <w:r w:rsidRPr="00780196">
        <w:rPr>
          <w:rFonts w:ascii="文泉驿微米黑" w:eastAsia="文泉驿微米黑" w:hAnsi="文泉驿微米黑" w:cs="Arial Unicode MS"/>
          <w:color w:val="30323E"/>
          <w:sz w:val="24"/>
          <w:szCs w:val="24"/>
          <w:highlight w:val="white"/>
        </w:rPr>
        <w:t xml:space="preserve"> Region </w:t>
      </w:r>
      <w:r w:rsidRPr="00780196">
        <w:rPr>
          <w:rFonts w:ascii="文泉驿微米黑" w:eastAsia="文泉驿微米黑" w:hAnsi="文泉驿微米黑" w:cs="Arial Unicode MS"/>
          <w:color w:val="30323E"/>
          <w:sz w:val="24"/>
          <w:szCs w:val="24"/>
          <w:highlight w:val="white"/>
        </w:rPr>
        <w:t>负责存储一个</w:t>
      </w:r>
      <w:r w:rsidRPr="00780196">
        <w:rPr>
          <w:rFonts w:ascii="文泉驿微米黑" w:eastAsia="文泉驿微米黑" w:hAnsi="文泉驿微米黑" w:cs="Arial Unicode MS"/>
          <w:color w:val="30323E"/>
          <w:sz w:val="24"/>
          <w:szCs w:val="24"/>
          <w:highlight w:val="white"/>
        </w:rPr>
        <w:t xml:space="preserve"> Key Range</w:t>
      </w:r>
      <w:r w:rsidRPr="00780196">
        <w:rPr>
          <w:rFonts w:ascii="文泉驿微米黑" w:eastAsia="文泉驿微米黑" w:hAnsi="文泉驿微米黑" w:cs="Arial Unicode MS"/>
          <w:color w:val="30323E"/>
          <w:sz w:val="24"/>
          <w:szCs w:val="24"/>
          <w:highlight w:val="white"/>
        </w:rPr>
        <w:t>（从</w:t>
      </w:r>
      <w:r w:rsidRPr="00780196">
        <w:rPr>
          <w:rFonts w:ascii="文泉驿微米黑" w:eastAsia="文泉驿微米黑" w:hAnsi="文泉驿微米黑" w:cs="Arial Unicode MS"/>
          <w:color w:val="30323E"/>
          <w:sz w:val="24"/>
          <w:szCs w:val="24"/>
          <w:highlight w:val="white"/>
        </w:rPr>
        <w:t xml:space="preserve"> StartKey </w:t>
      </w:r>
      <w:r w:rsidRPr="00780196">
        <w:rPr>
          <w:rFonts w:ascii="文泉驿微米黑" w:eastAsia="文泉驿微米黑" w:hAnsi="文泉驿微米黑" w:cs="Arial Unicode MS"/>
          <w:color w:val="30323E"/>
          <w:sz w:val="24"/>
          <w:szCs w:val="24"/>
          <w:highlight w:val="white"/>
        </w:rPr>
        <w:t>到</w:t>
      </w:r>
      <w:r w:rsidRPr="00780196">
        <w:rPr>
          <w:rFonts w:ascii="文泉驿微米黑" w:eastAsia="文泉驿微米黑" w:hAnsi="文泉驿微米黑" w:cs="Arial Unicode MS"/>
          <w:color w:val="30323E"/>
          <w:sz w:val="24"/>
          <w:szCs w:val="24"/>
          <w:highlight w:val="white"/>
        </w:rPr>
        <w:t xml:space="preserve"> EndKey </w:t>
      </w:r>
      <w:r w:rsidRPr="00780196">
        <w:rPr>
          <w:rFonts w:ascii="文泉驿微米黑" w:eastAsia="文泉驿微米黑" w:hAnsi="文泉驿微米黑" w:cs="Arial Unicode MS"/>
          <w:color w:val="30323E"/>
          <w:sz w:val="24"/>
          <w:szCs w:val="24"/>
          <w:highlight w:val="white"/>
        </w:rPr>
        <w:t>的</w:t>
      </w:r>
      <w:proofErr w:type="gramStart"/>
      <w:r w:rsidRPr="00780196">
        <w:rPr>
          <w:rFonts w:ascii="文泉驿微米黑" w:eastAsia="文泉驿微米黑" w:hAnsi="文泉驿微米黑" w:cs="Arial Unicode MS"/>
          <w:color w:val="30323E"/>
          <w:sz w:val="24"/>
          <w:szCs w:val="24"/>
          <w:highlight w:val="white"/>
        </w:rPr>
        <w:t>左闭右开区间</w:t>
      </w:r>
      <w:proofErr w:type="gramEnd"/>
      <w:r w:rsidRPr="00780196">
        <w:rPr>
          <w:rFonts w:ascii="文泉驿微米黑" w:eastAsia="文泉驿微米黑" w:hAnsi="文泉驿微米黑" w:cs="Arial Unicode MS"/>
          <w:color w:val="30323E"/>
          <w:sz w:val="24"/>
          <w:szCs w:val="24"/>
          <w:highlight w:val="white"/>
        </w:rPr>
        <w:t>）的数据，每个</w:t>
      </w:r>
      <w:r w:rsidRPr="00780196">
        <w:rPr>
          <w:rFonts w:ascii="文泉驿微米黑" w:eastAsia="文泉驿微米黑" w:hAnsi="文泉驿微米黑" w:cs="Arial Unicode MS"/>
          <w:color w:val="30323E"/>
          <w:sz w:val="24"/>
          <w:szCs w:val="24"/>
          <w:highlight w:val="white"/>
        </w:rPr>
        <w:t xml:space="preserve"> TiKV </w:t>
      </w:r>
      <w:r w:rsidRPr="00780196">
        <w:rPr>
          <w:rFonts w:ascii="文泉驿微米黑" w:eastAsia="文泉驿微米黑" w:hAnsi="文泉驿微米黑" w:cs="Arial Unicode MS"/>
          <w:color w:val="30323E"/>
          <w:sz w:val="24"/>
          <w:szCs w:val="24"/>
          <w:highlight w:val="white"/>
        </w:rPr>
        <w:t>节点会负责多个</w:t>
      </w:r>
      <w:r w:rsidRPr="00780196">
        <w:rPr>
          <w:rFonts w:ascii="文泉驿微米黑" w:eastAsia="文泉驿微米黑" w:hAnsi="文泉驿微米黑" w:cs="Arial Unicode MS"/>
          <w:color w:val="30323E"/>
          <w:sz w:val="24"/>
          <w:szCs w:val="24"/>
          <w:highlight w:val="white"/>
        </w:rPr>
        <w:t xml:space="preserve"> Region</w:t>
      </w:r>
      <w:r w:rsidRPr="00780196">
        <w:rPr>
          <w:rFonts w:ascii="文泉驿微米黑" w:eastAsia="文泉驿微米黑" w:hAnsi="文泉驿微米黑" w:cs="Arial Unicode MS"/>
          <w:color w:val="30323E"/>
          <w:sz w:val="24"/>
          <w:szCs w:val="24"/>
          <w:highlight w:val="white"/>
        </w:rPr>
        <w:t>。</w:t>
      </w:r>
    </w:p>
    <w:p w14:paraId="14D999F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每个</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负责维护集群的一段连续数据（默认配置下平均约</w:t>
      </w:r>
      <w:r w:rsidRPr="00780196">
        <w:rPr>
          <w:rFonts w:ascii="文泉驿微米黑" w:eastAsia="文泉驿微米黑" w:hAnsi="文泉驿微米黑" w:cs="Arial Unicode MS"/>
          <w:color w:val="30323E"/>
          <w:sz w:val="24"/>
          <w:szCs w:val="24"/>
        </w:rPr>
        <w:t xml:space="preserve"> 96 MiB</w:t>
      </w:r>
      <w:r w:rsidRPr="00780196">
        <w:rPr>
          <w:rFonts w:ascii="文泉驿微米黑" w:eastAsia="文泉驿微米黑" w:hAnsi="文泉驿微米黑" w:cs="Arial Unicode MS"/>
          <w:color w:val="30323E"/>
          <w:sz w:val="24"/>
          <w:szCs w:val="24"/>
        </w:rPr>
        <w:t>），每份数据会在不同的</w:t>
      </w:r>
      <w:r w:rsidRPr="00780196">
        <w:rPr>
          <w:rFonts w:ascii="文泉驿微米黑" w:eastAsia="文泉驿微米黑" w:hAnsi="文泉驿微米黑" w:cs="Arial Unicode MS"/>
          <w:color w:val="30323E"/>
          <w:sz w:val="24"/>
          <w:szCs w:val="24"/>
        </w:rPr>
        <w:t xml:space="preserve"> Store </w:t>
      </w:r>
      <w:r w:rsidRPr="00780196">
        <w:rPr>
          <w:rFonts w:ascii="文泉驿微米黑" w:eastAsia="文泉驿微米黑" w:hAnsi="文泉驿微米黑" w:cs="Arial Unicode MS"/>
          <w:color w:val="30323E"/>
          <w:sz w:val="24"/>
          <w:szCs w:val="24"/>
        </w:rPr>
        <w:t>存储多个副本（默认配置是</w:t>
      </w:r>
      <w:r w:rsidRPr="00780196">
        <w:rPr>
          <w:rFonts w:ascii="文泉驿微米黑" w:eastAsia="文泉驿微米黑" w:hAnsi="文泉驿微米黑" w:cs="Arial Unicode MS"/>
          <w:color w:val="30323E"/>
          <w:sz w:val="24"/>
          <w:szCs w:val="24"/>
        </w:rPr>
        <w:t xml:space="preserve"> 3 </w:t>
      </w:r>
      <w:r w:rsidRPr="00780196">
        <w:rPr>
          <w:rFonts w:ascii="文泉驿微米黑" w:eastAsia="文泉驿微米黑" w:hAnsi="文泉驿微米黑" w:cs="Arial Unicode MS"/>
          <w:color w:val="30323E"/>
          <w:sz w:val="24"/>
          <w:szCs w:val="24"/>
        </w:rPr>
        <w:t>副本），每个副本称为</w:t>
      </w:r>
      <w:r w:rsidRPr="00780196">
        <w:rPr>
          <w:rFonts w:ascii="文泉驿微米黑" w:eastAsia="文泉驿微米黑" w:hAnsi="文泉驿微米黑" w:cs="Arial Unicode MS"/>
          <w:color w:val="30323E"/>
          <w:sz w:val="24"/>
          <w:szCs w:val="24"/>
        </w:rPr>
        <w:t xml:space="preserve"> Peer</w:t>
      </w:r>
      <w:r w:rsidRPr="00780196">
        <w:rPr>
          <w:rFonts w:ascii="文泉驿微米黑" w:eastAsia="文泉驿微米黑" w:hAnsi="文泉驿微米黑" w:cs="Arial Unicode MS"/>
          <w:color w:val="30323E"/>
          <w:sz w:val="24"/>
          <w:szCs w:val="24"/>
        </w:rPr>
        <w:t>。同一个</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的多个</w:t>
      </w:r>
      <w:r w:rsidRPr="00780196">
        <w:rPr>
          <w:rFonts w:ascii="文泉驿微米黑" w:eastAsia="文泉驿微米黑" w:hAnsi="文泉驿微米黑" w:cs="Arial Unicode MS"/>
          <w:color w:val="30323E"/>
          <w:sz w:val="24"/>
          <w:szCs w:val="24"/>
        </w:rPr>
        <w:t xml:space="preserve"> Peer </w:t>
      </w:r>
      <w:r w:rsidRPr="00780196">
        <w:rPr>
          <w:rFonts w:ascii="文泉驿微米黑" w:eastAsia="文泉驿微米黑" w:hAnsi="文泉驿微米黑" w:cs="Arial Unicode MS"/>
          <w:color w:val="30323E"/>
          <w:sz w:val="24"/>
          <w:szCs w:val="24"/>
        </w:rPr>
        <w:t>通过</w:t>
      </w:r>
      <w:r w:rsidRPr="00780196">
        <w:rPr>
          <w:rFonts w:ascii="文泉驿微米黑" w:eastAsia="文泉驿微米黑" w:hAnsi="文泉驿微米黑" w:cs="Arial Unicode MS"/>
          <w:color w:val="30323E"/>
          <w:sz w:val="24"/>
          <w:szCs w:val="24"/>
        </w:rPr>
        <w:t xml:space="preserve"> raft </w:t>
      </w:r>
      <w:r w:rsidRPr="00780196">
        <w:rPr>
          <w:rFonts w:ascii="文泉驿微米黑" w:eastAsia="文泉驿微米黑" w:hAnsi="文泉驿微米黑" w:cs="Arial Unicode MS"/>
          <w:color w:val="30323E"/>
          <w:sz w:val="24"/>
          <w:szCs w:val="24"/>
        </w:rPr>
        <w:t>协议进行数据同步，所以</w:t>
      </w:r>
      <w:r w:rsidRPr="00780196">
        <w:rPr>
          <w:rFonts w:ascii="文泉驿微米黑" w:eastAsia="文泉驿微米黑" w:hAnsi="文泉驿微米黑" w:cs="Arial Unicode MS"/>
          <w:color w:val="30323E"/>
          <w:sz w:val="24"/>
          <w:szCs w:val="24"/>
        </w:rPr>
        <w:t xml:space="preserve"> Peer </w:t>
      </w:r>
      <w:r w:rsidRPr="00780196">
        <w:rPr>
          <w:rFonts w:ascii="文泉驿微米黑" w:eastAsia="文泉驿微米黑" w:hAnsi="文泉驿微米黑" w:cs="Arial Unicode MS"/>
          <w:color w:val="30323E"/>
          <w:sz w:val="24"/>
          <w:szCs w:val="24"/>
        </w:rPr>
        <w:t>也用来指代</w:t>
      </w:r>
      <w:r w:rsidRPr="00780196">
        <w:rPr>
          <w:rFonts w:ascii="文泉驿微米黑" w:eastAsia="文泉驿微米黑" w:hAnsi="文泉驿微米黑" w:cs="Arial Unicode MS"/>
          <w:color w:val="30323E"/>
          <w:sz w:val="24"/>
          <w:szCs w:val="24"/>
        </w:rPr>
        <w:t xml:space="preserve"> raft</w:t>
      </w:r>
      <w:r w:rsidRPr="00780196">
        <w:rPr>
          <w:rFonts w:ascii="文泉驿微米黑" w:eastAsia="文泉驿微米黑" w:hAnsi="文泉驿微米黑" w:cs="Arial Unicode MS"/>
          <w:color w:val="30323E"/>
          <w:sz w:val="24"/>
          <w:szCs w:val="24"/>
        </w:rPr>
        <w:t xml:space="preserve"> </w:t>
      </w:r>
      <w:r w:rsidRPr="00780196">
        <w:rPr>
          <w:rFonts w:ascii="文泉驿微米黑" w:eastAsia="文泉驿微米黑" w:hAnsi="文泉驿微米黑" w:cs="Arial Unicode MS"/>
          <w:color w:val="30323E"/>
          <w:sz w:val="24"/>
          <w:szCs w:val="24"/>
        </w:rPr>
        <w:t>实例中的成员。</w:t>
      </w:r>
      <w:r w:rsidRPr="00780196">
        <w:rPr>
          <w:rFonts w:ascii="文泉驿微米黑" w:eastAsia="文泉驿微米黑" w:hAnsi="文泉驿微米黑" w:cs="Arial Unicode MS"/>
          <w:color w:val="30323E"/>
          <w:sz w:val="24"/>
          <w:szCs w:val="24"/>
        </w:rPr>
        <w:t xml:space="preserve">TiKV </w:t>
      </w:r>
      <w:r w:rsidRPr="00780196">
        <w:rPr>
          <w:rFonts w:ascii="文泉驿微米黑" w:eastAsia="文泉驿微米黑" w:hAnsi="文泉驿微米黑" w:cs="Arial Unicode MS"/>
          <w:color w:val="30323E"/>
          <w:sz w:val="24"/>
          <w:szCs w:val="24"/>
        </w:rPr>
        <w:t>使用</w:t>
      </w:r>
      <w:r w:rsidRPr="00780196">
        <w:rPr>
          <w:rFonts w:ascii="文泉驿微米黑" w:eastAsia="文泉驿微米黑" w:hAnsi="文泉驿微米黑" w:cs="Arial Unicode MS"/>
          <w:color w:val="30323E"/>
          <w:sz w:val="24"/>
          <w:szCs w:val="24"/>
        </w:rPr>
        <w:t xml:space="preserve"> multi-raft </w:t>
      </w:r>
      <w:r w:rsidRPr="00780196">
        <w:rPr>
          <w:rFonts w:ascii="文泉驿微米黑" w:eastAsia="文泉驿微米黑" w:hAnsi="文泉驿微米黑" w:cs="Arial Unicode MS"/>
          <w:color w:val="30323E"/>
          <w:sz w:val="24"/>
          <w:szCs w:val="24"/>
        </w:rPr>
        <w:t>模式来管理数据，即每个</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都对应一个独立运行的</w:t>
      </w:r>
      <w:r w:rsidRPr="00780196">
        <w:rPr>
          <w:rFonts w:ascii="文泉驿微米黑" w:eastAsia="文泉驿微米黑" w:hAnsi="文泉驿微米黑" w:cs="Arial Unicode MS"/>
          <w:color w:val="30323E"/>
          <w:sz w:val="24"/>
          <w:szCs w:val="24"/>
        </w:rPr>
        <w:t xml:space="preserve"> raft </w:t>
      </w:r>
      <w:r w:rsidRPr="00780196">
        <w:rPr>
          <w:rFonts w:ascii="文泉驿微米黑" w:eastAsia="文泉驿微米黑" w:hAnsi="文泉驿微米黑" w:cs="Arial Unicode MS"/>
          <w:color w:val="30323E"/>
          <w:sz w:val="24"/>
          <w:szCs w:val="24"/>
        </w:rPr>
        <w:t>实例，我们也把这样的一个</w:t>
      </w:r>
      <w:r w:rsidRPr="00780196">
        <w:rPr>
          <w:rFonts w:ascii="文泉驿微米黑" w:eastAsia="文泉驿微米黑" w:hAnsi="文泉驿微米黑" w:cs="Arial Unicode MS"/>
          <w:color w:val="30323E"/>
          <w:sz w:val="24"/>
          <w:szCs w:val="24"/>
        </w:rPr>
        <w:t xml:space="preserve"> raft </w:t>
      </w:r>
      <w:r w:rsidRPr="00780196">
        <w:rPr>
          <w:rFonts w:ascii="文泉驿微米黑" w:eastAsia="文泉驿微米黑" w:hAnsi="文泉驿微米黑" w:cs="Arial Unicode MS"/>
          <w:color w:val="30323E"/>
          <w:sz w:val="24"/>
          <w:szCs w:val="24"/>
        </w:rPr>
        <w:t>实例叫做一个</w:t>
      </w:r>
      <w:r w:rsidRPr="00780196">
        <w:rPr>
          <w:rFonts w:ascii="文泉驿微米黑" w:eastAsia="文泉驿微米黑" w:hAnsi="文泉驿微米黑" w:cs="Arial Unicode MS"/>
          <w:color w:val="30323E"/>
          <w:sz w:val="24"/>
          <w:szCs w:val="24"/>
        </w:rPr>
        <w:t xml:space="preserve"> Raft Group</w:t>
      </w:r>
      <w:r w:rsidRPr="00780196">
        <w:rPr>
          <w:rFonts w:ascii="文泉驿微米黑" w:eastAsia="文泉驿微米黑" w:hAnsi="文泉驿微米黑" w:cs="Arial Unicode MS"/>
          <w:color w:val="30323E"/>
          <w:sz w:val="24"/>
          <w:szCs w:val="24"/>
        </w:rPr>
        <w:t>。</w:t>
      </w:r>
    </w:p>
    <w:p w14:paraId="7AF506B3"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 Split</w:t>
      </w:r>
    </w:p>
    <w:p w14:paraId="250EFD09"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 xml:space="preserve">TiKV </w:t>
      </w:r>
      <w:r w:rsidRPr="00780196">
        <w:rPr>
          <w:rFonts w:ascii="文泉驿微米黑" w:eastAsia="文泉驿微米黑" w:hAnsi="文泉驿微米黑" w:cs="Arial Unicode MS"/>
          <w:color w:val="30323E"/>
          <w:sz w:val="24"/>
          <w:szCs w:val="24"/>
        </w:rPr>
        <w:t>集群中的</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不是一开始就划分好的，而是随着数据写入逐渐分裂生成的，分裂的过程被称为</w:t>
      </w:r>
      <w:r w:rsidRPr="00780196">
        <w:rPr>
          <w:rFonts w:ascii="文泉驿微米黑" w:eastAsia="文泉驿微米黑" w:hAnsi="文泉驿微米黑" w:cs="Arial Unicode MS"/>
          <w:color w:val="30323E"/>
          <w:sz w:val="24"/>
          <w:szCs w:val="24"/>
        </w:rPr>
        <w:t xml:space="preserve"> Region Split</w:t>
      </w:r>
      <w:r w:rsidRPr="00780196">
        <w:rPr>
          <w:rFonts w:ascii="文泉驿微米黑" w:eastAsia="文泉驿微米黑" w:hAnsi="文泉驿微米黑" w:cs="Arial Unicode MS"/>
          <w:color w:val="30323E"/>
          <w:sz w:val="24"/>
          <w:szCs w:val="24"/>
        </w:rPr>
        <w:t>。</w:t>
      </w:r>
    </w:p>
    <w:p w14:paraId="4B0E0D6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其机制是集群初始化时构建一个初始</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覆盖整个</w:t>
      </w:r>
      <w:r w:rsidRPr="00780196">
        <w:rPr>
          <w:rFonts w:ascii="文泉驿微米黑" w:eastAsia="文泉驿微米黑" w:hAnsi="文泉驿微米黑" w:cs="Arial Unicode MS"/>
          <w:color w:val="30323E"/>
          <w:sz w:val="24"/>
          <w:szCs w:val="24"/>
        </w:rPr>
        <w:t xml:space="preserve"> key space</w:t>
      </w:r>
      <w:r w:rsidRPr="00780196">
        <w:rPr>
          <w:rFonts w:ascii="文泉驿微米黑" w:eastAsia="文泉驿微米黑" w:hAnsi="文泉驿微米黑" w:cs="Arial Unicode MS"/>
          <w:color w:val="30323E"/>
          <w:sz w:val="24"/>
          <w:szCs w:val="24"/>
        </w:rPr>
        <w:t>，随后在运行过程中每当</w:t>
      </w:r>
      <w:r w:rsidRPr="00780196">
        <w:rPr>
          <w:rFonts w:ascii="文泉驿微米黑" w:eastAsia="文泉驿微米黑" w:hAnsi="文泉驿微米黑" w:cs="Arial Unicode MS"/>
          <w:color w:val="30323E"/>
          <w:sz w:val="24"/>
          <w:szCs w:val="24"/>
        </w:rPr>
        <w:t xml:space="preserve"> Region </w:t>
      </w:r>
      <w:r w:rsidRPr="00780196">
        <w:rPr>
          <w:rFonts w:ascii="文泉驿微米黑" w:eastAsia="文泉驿微米黑" w:hAnsi="文泉驿微米黑" w:cs="Arial Unicode MS"/>
          <w:color w:val="30323E"/>
          <w:sz w:val="24"/>
          <w:szCs w:val="24"/>
        </w:rPr>
        <w:t>数据达到一定量之后就通过</w:t>
      </w:r>
      <w:r w:rsidRPr="00780196">
        <w:rPr>
          <w:rFonts w:ascii="文泉驿微米黑" w:eastAsia="文泉驿微米黑" w:hAnsi="文泉驿微米黑" w:cs="Arial Unicode MS"/>
          <w:color w:val="30323E"/>
          <w:sz w:val="24"/>
          <w:szCs w:val="24"/>
        </w:rPr>
        <w:t xml:space="preserve"> Split </w:t>
      </w:r>
      <w:r w:rsidRPr="00780196">
        <w:rPr>
          <w:rFonts w:ascii="文泉驿微米黑" w:eastAsia="文泉驿微米黑" w:hAnsi="文泉驿微米黑" w:cs="Arial Unicode MS"/>
          <w:color w:val="30323E"/>
          <w:sz w:val="24"/>
          <w:szCs w:val="24"/>
        </w:rPr>
        <w:t>产</w:t>
      </w:r>
      <w:r w:rsidRPr="00780196">
        <w:rPr>
          <w:rFonts w:ascii="文泉驿微米黑" w:eastAsia="文泉驿微米黑" w:hAnsi="文泉驿微米黑" w:cs="Arial Unicode MS"/>
          <w:color w:val="30323E"/>
          <w:sz w:val="24"/>
          <w:szCs w:val="24"/>
        </w:rPr>
        <w:t>生新的</w:t>
      </w:r>
      <w:r w:rsidRPr="00780196">
        <w:rPr>
          <w:rFonts w:ascii="文泉驿微米黑" w:eastAsia="文泉驿微米黑" w:hAnsi="文泉驿微米黑" w:cs="Arial Unicode MS"/>
          <w:color w:val="30323E"/>
          <w:sz w:val="24"/>
          <w:szCs w:val="24"/>
        </w:rPr>
        <w:t xml:space="preserve"> Region</w:t>
      </w:r>
      <w:r w:rsidRPr="00780196">
        <w:rPr>
          <w:rFonts w:ascii="文泉驿微米黑" w:eastAsia="文泉驿微米黑" w:hAnsi="文泉驿微米黑" w:cs="Arial Unicode MS"/>
          <w:color w:val="30323E"/>
          <w:sz w:val="24"/>
          <w:szCs w:val="24"/>
        </w:rPr>
        <w:t>。</w:t>
      </w:r>
    </w:p>
    <w:p w14:paraId="7525C930"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Data Migration (DM)</w:t>
      </w:r>
    </w:p>
    <w:p w14:paraId="45A4384A"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一个一体化的数据迁移任务管理工具，支持从与</w:t>
      </w:r>
      <w:r w:rsidRPr="00780196">
        <w:rPr>
          <w:rFonts w:ascii="文泉驿微米黑" w:eastAsia="文泉驿微米黑" w:hAnsi="文泉驿微米黑" w:cs="Arial Unicode MS"/>
          <w:color w:val="30323E"/>
          <w:sz w:val="24"/>
          <w:szCs w:val="24"/>
        </w:rPr>
        <w:t xml:space="preserve"> MySQL </w:t>
      </w:r>
      <w:r w:rsidRPr="00780196">
        <w:rPr>
          <w:rFonts w:ascii="文泉驿微米黑" w:eastAsia="文泉驿微米黑" w:hAnsi="文泉驿微米黑" w:cs="Arial Unicode MS"/>
          <w:color w:val="30323E"/>
          <w:sz w:val="24"/>
          <w:szCs w:val="24"/>
        </w:rPr>
        <w:t>协议兼容的数据库（</w:t>
      </w:r>
      <w:r w:rsidRPr="00780196">
        <w:rPr>
          <w:rFonts w:ascii="文泉驿微米黑" w:eastAsia="文泉驿微米黑" w:hAnsi="文泉驿微米黑" w:cs="Arial Unicode MS"/>
          <w:color w:val="30323E"/>
          <w:sz w:val="24"/>
          <w:szCs w:val="24"/>
        </w:rPr>
        <w:t>MySQL</w:t>
      </w:r>
      <w:r w:rsidRPr="00780196">
        <w:rPr>
          <w:rFonts w:ascii="文泉驿微米黑" w:eastAsia="文泉驿微米黑" w:hAnsi="文泉驿微米黑" w:cs="Arial Unicode MS"/>
        </w:rPr>
        <w:t>、</w:t>
      </w:r>
      <w:r w:rsidRPr="00780196">
        <w:rPr>
          <w:rFonts w:ascii="文泉驿微米黑" w:eastAsia="文泉驿微米黑" w:hAnsi="文泉驿微米黑" w:cs="Arial Unicode MS"/>
        </w:rPr>
        <w:t>MariaDB</w:t>
      </w:r>
      <w:r w:rsidRPr="00780196">
        <w:rPr>
          <w:rFonts w:ascii="文泉驿微米黑" w:eastAsia="文泉驿微米黑" w:hAnsi="文泉驿微米黑" w:cs="Arial Unicode MS"/>
          <w:color w:val="30323E"/>
          <w:sz w:val="24"/>
          <w:szCs w:val="24"/>
        </w:rPr>
        <w:t>、</w:t>
      </w:r>
      <w:r w:rsidRPr="00780196">
        <w:rPr>
          <w:rFonts w:ascii="文泉驿微米黑" w:eastAsia="文泉驿微米黑" w:hAnsi="文泉驿微米黑" w:cs="Arial Unicode MS"/>
          <w:color w:val="30323E"/>
          <w:sz w:val="24"/>
          <w:szCs w:val="24"/>
        </w:rPr>
        <w:t>Aurora MySQL</w:t>
      </w:r>
      <w:r w:rsidRPr="00780196">
        <w:rPr>
          <w:rFonts w:ascii="文泉驿微米黑" w:eastAsia="文泉驿微米黑" w:hAnsi="文泉驿微米黑" w:cs="Arial Unicode MS"/>
          <w:color w:val="30323E"/>
          <w:sz w:val="24"/>
          <w:szCs w:val="24"/>
        </w:rPr>
        <w:t>）到</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的数据迁移，可以降低数据迁移的运维成本。</w:t>
      </w:r>
    </w:p>
    <w:p w14:paraId="4810407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Server</w:t>
      </w:r>
    </w:p>
    <w:p w14:paraId="3286811B"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在</w:t>
      </w:r>
      <w:r w:rsidRPr="00780196">
        <w:rPr>
          <w:rFonts w:ascii="文泉驿微米黑" w:eastAsia="文泉驿微米黑" w:hAnsi="文泉驿微米黑" w:cs="Arial Unicode MS"/>
        </w:rPr>
        <w:t xml:space="preserve">SQL </w:t>
      </w:r>
      <w:r w:rsidRPr="00780196">
        <w:rPr>
          <w:rFonts w:ascii="文泉驿微米黑" w:eastAsia="文泉驿微米黑" w:hAnsi="文泉驿微米黑" w:cs="Arial Unicode MS"/>
        </w:rPr>
        <w:t>层，对外暴露</w:t>
      </w:r>
      <w:r w:rsidRPr="00780196">
        <w:rPr>
          <w:rFonts w:ascii="文泉驿微米黑" w:eastAsia="文泉驿微米黑" w:hAnsi="文泉驿微米黑" w:cs="Arial Unicode MS"/>
        </w:rPr>
        <w:t xml:space="preserve"> MySQL </w:t>
      </w:r>
      <w:r w:rsidRPr="00780196">
        <w:rPr>
          <w:rFonts w:ascii="文泉驿微米黑" w:eastAsia="文泉驿微米黑" w:hAnsi="文泉驿微米黑" w:cs="Arial Unicode MS"/>
        </w:rPr>
        <w:t>协议的连接</w:t>
      </w:r>
      <w:r w:rsidRPr="00780196">
        <w:rPr>
          <w:rFonts w:ascii="文泉驿微米黑" w:eastAsia="文泉驿微米黑" w:hAnsi="文泉驿微米黑" w:cs="Arial Unicode MS"/>
        </w:rPr>
        <w:t xml:space="preserve"> endpoint</w:t>
      </w:r>
      <w:r w:rsidRPr="00780196">
        <w:rPr>
          <w:rFonts w:ascii="文泉驿微米黑" w:eastAsia="文泉驿微米黑" w:hAnsi="文泉驿微米黑" w:cs="Arial Unicode MS"/>
        </w:rPr>
        <w:t>，负责接受客户端的连接，执行</w:t>
      </w:r>
      <w:r w:rsidRPr="00780196">
        <w:rPr>
          <w:rFonts w:ascii="文泉驿微米黑" w:eastAsia="文泉驿微米黑" w:hAnsi="文泉驿微米黑" w:cs="Arial Unicode MS"/>
        </w:rPr>
        <w:t xml:space="preserve"> SQL </w:t>
      </w:r>
      <w:r w:rsidRPr="00780196">
        <w:rPr>
          <w:rFonts w:ascii="文泉驿微米黑" w:eastAsia="文泉驿微米黑" w:hAnsi="文泉驿微米黑" w:cs="Arial Unicode MS"/>
        </w:rPr>
        <w:t>解析和优化，最终生成分布式执行计划。</w:t>
      </w:r>
    </w:p>
    <w:p w14:paraId="6D13BB27"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rPr>
      </w:pPr>
      <w:r w:rsidRPr="00780196">
        <w:rPr>
          <w:rFonts w:ascii="文泉驿微米黑" w:eastAsia="文泉驿微米黑" w:hAnsi="文泉驿微米黑" w:cs="Helvetica Neue"/>
          <w:b/>
        </w:rPr>
        <w:t>TiFlash</w:t>
      </w:r>
    </w:p>
    <w:p w14:paraId="28FFB8E9"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 xml:space="preserve">TiDB HTAP </w:t>
      </w:r>
      <w:r w:rsidRPr="00780196">
        <w:rPr>
          <w:rFonts w:ascii="文泉驿微米黑" w:eastAsia="文泉驿微米黑" w:hAnsi="文泉驿微米黑" w:cs="Arial Unicode MS"/>
        </w:rPr>
        <w:t>形态的关键组件，它是</w:t>
      </w:r>
      <w:r w:rsidRPr="00780196">
        <w:rPr>
          <w:rFonts w:ascii="文泉驿微米黑" w:eastAsia="文泉驿微米黑" w:hAnsi="文泉驿微米黑" w:cs="Arial Unicode MS"/>
        </w:rPr>
        <w:t xml:space="preserve"> TiKV </w:t>
      </w:r>
      <w:proofErr w:type="gramStart"/>
      <w:r w:rsidRPr="00780196">
        <w:rPr>
          <w:rFonts w:ascii="文泉驿微米黑" w:eastAsia="文泉驿微米黑" w:hAnsi="文泉驿微米黑" w:cs="Arial Unicode MS"/>
        </w:rPr>
        <w:t>的列存扩展</w:t>
      </w:r>
      <w:proofErr w:type="gramEnd"/>
      <w:r w:rsidRPr="00780196">
        <w:rPr>
          <w:rFonts w:ascii="文泉驿微米黑" w:eastAsia="文泉驿微米黑" w:hAnsi="文泉驿微米黑" w:cs="Arial Unicode MS"/>
        </w:rPr>
        <w:t>，在提供了良</w:t>
      </w:r>
      <w:r w:rsidRPr="00780196">
        <w:rPr>
          <w:rFonts w:ascii="文泉驿微米黑" w:eastAsia="文泉驿微米黑" w:hAnsi="文泉驿微米黑" w:cs="Arial Unicode MS"/>
        </w:rPr>
        <w:t>好的隔离性的同时，也兼顾了强一致性。</w:t>
      </w:r>
    </w:p>
    <w:p w14:paraId="7565924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TiKV</w:t>
      </w:r>
    </w:p>
    <w:p w14:paraId="54AA244E"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一个分布式事务型的键值数据库，提供了满足</w:t>
      </w:r>
      <w:r w:rsidRPr="00780196">
        <w:rPr>
          <w:rFonts w:ascii="文泉驿微米黑" w:eastAsia="文泉驿微米黑" w:hAnsi="文泉驿微米黑" w:cs="Arial Unicode MS"/>
          <w:color w:val="30323E"/>
          <w:sz w:val="24"/>
          <w:szCs w:val="24"/>
        </w:rPr>
        <w:t xml:space="preserve"> ACID </w:t>
      </w:r>
      <w:r w:rsidRPr="00780196">
        <w:rPr>
          <w:rFonts w:ascii="文泉驿微米黑" w:eastAsia="文泉驿微米黑" w:hAnsi="文泉驿微米黑" w:cs="Arial Unicode MS"/>
          <w:color w:val="30323E"/>
          <w:sz w:val="24"/>
          <w:szCs w:val="24"/>
        </w:rPr>
        <w:t>约束的分布式事务接口，并且通过</w:t>
      </w:r>
      <w:r w:rsidRPr="00780196">
        <w:rPr>
          <w:rFonts w:ascii="文泉驿微米黑" w:eastAsia="文泉驿微米黑" w:hAnsi="文泉驿微米黑" w:cs="Helvetica Neue"/>
        </w:rPr>
        <w:t xml:space="preserve"> </w:t>
      </w:r>
      <w:hyperlink r:id="rId19">
        <w:r w:rsidRPr="00780196">
          <w:rPr>
            <w:rFonts w:ascii="文泉驿微米黑" w:eastAsia="文泉驿微米黑" w:hAnsi="文泉驿微米黑" w:cs="Helvetica Neue"/>
            <w:color w:val="1155CC"/>
            <w:u w:val="single"/>
          </w:rPr>
          <w:t xml:space="preserve">Raft </w:t>
        </w:r>
        <w:r w:rsidRPr="00780196">
          <w:rPr>
            <w:rFonts w:ascii="文泉驿微米黑" w:eastAsia="文泉驿微米黑" w:hAnsi="文泉驿微米黑" w:cs="Helvetica Neue"/>
            <w:color w:val="1155CC"/>
            <w:u w:val="single"/>
          </w:rPr>
          <w:t>协议</w:t>
        </w:r>
      </w:hyperlink>
      <w:r w:rsidRPr="00780196">
        <w:rPr>
          <w:rFonts w:ascii="文泉驿微米黑" w:eastAsia="文泉驿微米黑" w:hAnsi="文泉驿微米黑" w:cs="Arial Unicode MS"/>
          <w:color w:val="30323E"/>
          <w:sz w:val="24"/>
          <w:szCs w:val="24"/>
        </w:rPr>
        <w:t>保证了多副本数据一致性以及高可用。</w:t>
      </w:r>
      <w:r w:rsidRPr="00780196">
        <w:rPr>
          <w:rFonts w:ascii="文泉驿微米黑" w:eastAsia="文泉驿微米黑" w:hAnsi="文泉驿微米黑" w:cs="Arial Unicode MS"/>
          <w:color w:val="30323E"/>
          <w:sz w:val="24"/>
          <w:szCs w:val="24"/>
        </w:rPr>
        <w:t xml:space="preserve">TiKV </w:t>
      </w:r>
      <w:r w:rsidRPr="00780196">
        <w:rPr>
          <w:rFonts w:ascii="文泉驿微米黑" w:eastAsia="文泉驿微米黑" w:hAnsi="文泉驿微米黑" w:cs="Arial Unicode MS"/>
          <w:color w:val="30323E"/>
          <w:sz w:val="24"/>
          <w:szCs w:val="24"/>
        </w:rPr>
        <w:t>作为</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的存储层，为用户写入</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的数据提供了持久化以及读写服务，同时还存储了</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的统计信息数据。</w:t>
      </w:r>
    </w:p>
    <w:p w14:paraId="1E3FB541"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b/>
          <w:color w:val="30323E"/>
          <w:highlight w:val="white"/>
        </w:rPr>
      </w:pPr>
      <w:r w:rsidRPr="00780196">
        <w:rPr>
          <w:rFonts w:ascii="文泉驿微米黑" w:eastAsia="文泉驿微米黑" w:hAnsi="文泉驿微米黑" w:cs="Helvetica Neue"/>
          <w:b/>
        </w:rPr>
        <w:lastRenderedPageBreak/>
        <w:t>TiDB</w:t>
      </w:r>
      <w:r w:rsidRPr="00780196">
        <w:rPr>
          <w:rFonts w:ascii="文泉驿微米黑" w:eastAsia="文泉驿微米黑" w:hAnsi="文泉驿微米黑" w:cs="Helvetica Neue"/>
          <w:color w:val="30323E"/>
          <w:sz w:val="24"/>
          <w:szCs w:val="24"/>
          <w:highlight w:val="white"/>
        </w:rPr>
        <w:t xml:space="preserve"> </w:t>
      </w:r>
      <w:r w:rsidRPr="00780196">
        <w:rPr>
          <w:rFonts w:ascii="文泉驿微米黑" w:eastAsia="文泉驿微米黑" w:hAnsi="文泉驿微米黑" w:cs="Helvetica Neue"/>
          <w:b/>
          <w:color w:val="30323E"/>
          <w:highlight w:val="white"/>
        </w:rPr>
        <w:t>Opera</w:t>
      </w:r>
      <w:r w:rsidRPr="00780196">
        <w:rPr>
          <w:rFonts w:ascii="文泉驿微米黑" w:eastAsia="文泉驿微米黑" w:hAnsi="文泉驿微米黑" w:cs="Helvetica Neue"/>
          <w:b/>
        </w:rPr>
        <w:t>tor</w:t>
      </w:r>
    </w:p>
    <w:p w14:paraId="0D194E31" w14:textId="77777777" w:rsidR="006E5F0C" w:rsidRPr="00780196" w:rsidRDefault="00D2464C">
      <w:pP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一个</w:t>
      </w:r>
      <w:r w:rsidRPr="00780196">
        <w:rPr>
          <w:rFonts w:ascii="文泉驿微米黑" w:eastAsia="文泉驿微米黑" w:hAnsi="文泉驿微米黑" w:cs="Arial Unicode MS"/>
          <w:color w:val="30323E"/>
          <w:sz w:val="24"/>
          <w:szCs w:val="24"/>
        </w:rPr>
        <w:t xml:space="preserve"> Kubernetes </w:t>
      </w:r>
      <w:r w:rsidRPr="00780196">
        <w:rPr>
          <w:rFonts w:ascii="文泉驿微米黑" w:eastAsia="文泉驿微米黑" w:hAnsi="文泉驿微米黑" w:cs="Arial Unicode MS"/>
          <w:color w:val="30323E"/>
          <w:sz w:val="24"/>
          <w:szCs w:val="24"/>
        </w:rPr>
        <w:t>上的</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集群自动运维系统，提供包括部署、升级、扩缩容、备份恢复、配置变更的</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全生命周期管理。借助</w:t>
      </w:r>
      <w:r w:rsidRPr="00780196">
        <w:rPr>
          <w:rFonts w:ascii="文泉驿微米黑" w:eastAsia="文泉驿微米黑" w:hAnsi="文泉驿微米黑" w:cs="Arial Unicode MS"/>
          <w:color w:val="30323E"/>
          <w:sz w:val="24"/>
          <w:szCs w:val="24"/>
        </w:rPr>
        <w:t xml:space="preserve"> TiDB Operator</w:t>
      </w:r>
      <w:r w:rsidRPr="00780196">
        <w:rPr>
          <w:rFonts w:ascii="文泉驿微米黑" w:eastAsia="文泉驿微米黑" w:hAnsi="文泉驿微米黑" w:cs="Arial Unicode MS"/>
          <w:color w:val="30323E"/>
          <w:sz w:val="24"/>
          <w:szCs w:val="24"/>
        </w:rPr>
        <w:t>，</w:t>
      </w:r>
      <w:r w:rsidRPr="00780196">
        <w:rPr>
          <w:rFonts w:ascii="文泉驿微米黑" w:eastAsia="文泉驿微米黑" w:hAnsi="文泉驿微米黑" w:cs="Arial Unicode MS"/>
          <w:color w:val="30323E"/>
          <w:sz w:val="24"/>
          <w:szCs w:val="24"/>
        </w:rPr>
        <w:t xml:space="preserve">TiDB </w:t>
      </w:r>
      <w:r w:rsidRPr="00780196">
        <w:rPr>
          <w:rFonts w:ascii="文泉驿微米黑" w:eastAsia="文泉驿微米黑" w:hAnsi="文泉驿微米黑" w:cs="Arial Unicode MS"/>
          <w:color w:val="30323E"/>
          <w:sz w:val="24"/>
          <w:szCs w:val="24"/>
        </w:rPr>
        <w:t>可以无缝运行在</w:t>
      </w:r>
      <w:proofErr w:type="gramStart"/>
      <w:r w:rsidRPr="00780196">
        <w:rPr>
          <w:rFonts w:ascii="文泉驿微米黑" w:eastAsia="文泉驿微米黑" w:hAnsi="文泉驿微米黑" w:cs="Arial Unicode MS"/>
          <w:color w:val="30323E"/>
          <w:sz w:val="24"/>
          <w:szCs w:val="24"/>
        </w:rPr>
        <w:t>公有云</w:t>
      </w:r>
      <w:proofErr w:type="gramEnd"/>
      <w:r w:rsidRPr="00780196">
        <w:rPr>
          <w:rFonts w:ascii="文泉驿微米黑" w:eastAsia="文泉驿微米黑" w:hAnsi="文泉驿微米黑" w:cs="Arial Unicode MS"/>
          <w:color w:val="30323E"/>
          <w:sz w:val="24"/>
          <w:szCs w:val="24"/>
        </w:rPr>
        <w:t>或私有部署的</w:t>
      </w:r>
      <w:r w:rsidRPr="00780196">
        <w:rPr>
          <w:rFonts w:ascii="文泉驿微米黑" w:eastAsia="文泉驿微米黑" w:hAnsi="文泉驿微米黑" w:cs="Arial Unicode MS"/>
          <w:color w:val="30323E"/>
          <w:sz w:val="24"/>
          <w:szCs w:val="24"/>
        </w:rPr>
        <w:t xml:space="preserve"> Kubernetes </w:t>
      </w:r>
      <w:r w:rsidRPr="00780196">
        <w:rPr>
          <w:rFonts w:ascii="文泉驿微米黑" w:eastAsia="文泉驿微米黑" w:hAnsi="文泉驿微米黑" w:cs="Arial Unicode MS"/>
          <w:color w:val="30323E"/>
          <w:sz w:val="24"/>
          <w:szCs w:val="24"/>
        </w:rPr>
        <w:t>集群上。</w:t>
      </w:r>
    </w:p>
    <w:p w14:paraId="1ED95D88"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TiSpark</w:t>
      </w:r>
    </w:p>
    <w:p w14:paraId="13E5F8EF"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 xml:space="preserve">TiSpark </w:t>
      </w:r>
      <w:r w:rsidRPr="00780196">
        <w:rPr>
          <w:rFonts w:ascii="文泉驿微米黑" w:eastAsia="文泉驿微米黑" w:hAnsi="文泉驿微米黑" w:cs="Arial Unicode MS"/>
          <w:color w:val="30323E"/>
          <w:sz w:val="24"/>
          <w:szCs w:val="24"/>
        </w:rPr>
        <w:t>是将</w:t>
      </w:r>
      <w:r w:rsidRPr="00780196">
        <w:rPr>
          <w:rFonts w:ascii="文泉驿微米黑" w:eastAsia="文泉驿微米黑" w:hAnsi="文泉驿微米黑" w:cs="Arial Unicode MS"/>
          <w:color w:val="30323E"/>
          <w:sz w:val="24"/>
          <w:szCs w:val="24"/>
        </w:rPr>
        <w:t xml:space="preserve"> Spark SQL </w:t>
      </w:r>
      <w:r w:rsidRPr="00780196">
        <w:rPr>
          <w:rFonts w:ascii="文泉驿微米黑" w:eastAsia="文泉驿微米黑" w:hAnsi="文泉驿微米黑" w:cs="Arial Unicode MS"/>
          <w:color w:val="30323E"/>
          <w:sz w:val="24"/>
          <w:szCs w:val="24"/>
        </w:rPr>
        <w:t>直接运行在分布式存储引擎</w:t>
      </w:r>
      <w:r w:rsidRPr="00780196">
        <w:rPr>
          <w:rFonts w:ascii="文泉驿微米黑" w:eastAsia="文泉驿微米黑" w:hAnsi="文泉驿微米黑" w:cs="Arial Unicode MS"/>
          <w:color w:val="30323E"/>
          <w:sz w:val="24"/>
          <w:szCs w:val="24"/>
        </w:rPr>
        <w:t xml:space="preserve"> TiKV </w:t>
      </w:r>
      <w:r w:rsidRPr="00780196">
        <w:rPr>
          <w:rFonts w:ascii="文泉驿微米黑" w:eastAsia="文泉驿微米黑" w:hAnsi="文泉驿微米黑" w:cs="Arial Unicode MS"/>
          <w:color w:val="30323E"/>
          <w:sz w:val="24"/>
          <w:szCs w:val="24"/>
        </w:rPr>
        <w:t>上的</w:t>
      </w:r>
      <w:r w:rsidRPr="00780196">
        <w:rPr>
          <w:rFonts w:ascii="文泉驿微米黑" w:eastAsia="文泉驿微米黑" w:hAnsi="文泉驿微米黑" w:cs="Arial Unicode MS"/>
          <w:color w:val="30323E"/>
          <w:sz w:val="24"/>
          <w:szCs w:val="24"/>
        </w:rPr>
        <w:t xml:space="preserve"> OLAP </w:t>
      </w:r>
      <w:r w:rsidRPr="00780196">
        <w:rPr>
          <w:rFonts w:ascii="文泉驿微米黑" w:eastAsia="文泉驿微米黑" w:hAnsi="文泉驿微米黑" w:cs="Arial Unicode MS"/>
          <w:color w:val="30323E"/>
          <w:sz w:val="24"/>
          <w:szCs w:val="24"/>
        </w:rPr>
        <w:t>解决方案。</w:t>
      </w:r>
    </w:p>
    <w:p w14:paraId="788BAA15"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TiUP</w:t>
      </w:r>
    </w:p>
    <w:p w14:paraId="2108EFDA"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 xml:space="preserve">TiDB </w:t>
      </w:r>
      <w:r w:rsidRPr="00780196">
        <w:rPr>
          <w:rFonts w:ascii="文泉驿微米黑" w:eastAsia="文泉驿微米黑" w:hAnsi="文泉驿微米黑" w:cs="Arial Unicode MS"/>
          <w:color w:val="30323E"/>
          <w:sz w:val="24"/>
          <w:szCs w:val="24"/>
        </w:rPr>
        <w:t>的包管理器，管理着</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生态下众多的组件，如</w:t>
      </w:r>
      <w:r w:rsidRPr="00780196">
        <w:rPr>
          <w:rFonts w:ascii="文泉驿微米黑" w:eastAsia="文泉驿微米黑" w:hAnsi="文泉驿微米黑" w:cs="Arial Unicode MS"/>
          <w:color w:val="30323E"/>
          <w:sz w:val="24"/>
          <w:szCs w:val="24"/>
        </w:rPr>
        <w:t xml:space="preserve"> TiDB</w:t>
      </w:r>
      <w:r w:rsidRPr="00780196">
        <w:rPr>
          <w:rFonts w:ascii="文泉驿微米黑" w:eastAsia="文泉驿微米黑" w:hAnsi="文泉驿微米黑" w:cs="Arial Unicode MS"/>
          <w:color w:val="30323E"/>
          <w:sz w:val="24"/>
          <w:szCs w:val="24"/>
        </w:rPr>
        <w:t>、</w:t>
      </w:r>
      <w:r w:rsidRPr="00780196">
        <w:rPr>
          <w:rFonts w:ascii="文泉驿微米黑" w:eastAsia="文泉驿微米黑" w:hAnsi="文泉驿微米黑" w:cs="Arial Unicode MS"/>
          <w:color w:val="30323E"/>
          <w:sz w:val="24"/>
          <w:szCs w:val="24"/>
        </w:rPr>
        <w:t>PD</w:t>
      </w:r>
      <w:r w:rsidRPr="00780196">
        <w:rPr>
          <w:rFonts w:ascii="文泉驿微米黑" w:eastAsia="文泉驿微米黑" w:hAnsi="文泉驿微米黑" w:cs="Arial Unicode MS"/>
          <w:color w:val="30323E"/>
          <w:sz w:val="24"/>
          <w:szCs w:val="24"/>
        </w:rPr>
        <w:t>、</w:t>
      </w:r>
      <w:r w:rsidRPr="00780196">
        <w:rPr>
          <w:rFonts w:ascii="文泉驿微米黑" w:eastAsia="文泉驿微米黑" w:hAnsi="文泉驿微米黑" w:cs="Arial Unicode MS"/>
          <w:color w:val="30323E"/>
          <w:sz w:val="24"/>
          <w:szCs w:val="24"/>
        </w:rPr>
        <w:t xml:space="preserve">TiKV </w:t>
      </w:r>
      <w:r w:rsidRPr="00780196">
        <w:rPr>
          <w:rFonts w:ascii="文泉驿微米黑" w:eastAsia="文泉驿微米黑" w:hAnsi="文泉驿微米黑" w:cs="Arial Unicode MS"/>
          <w:color w:val="30323E"/>
          <w:sz w:val="24"/>
          <w:szCs w:val="24"/>
        </w:rPr>
        <w:t>等。你想要运行</w:t>
      </w:r>
      <w:r w:rsidRPr="00780196">
        <w:rPr>
          <w:rFonts w:ascii="文泉驿微米黑" w:eastAsia="文泉驿微米黑" w:hAnsi="文泉驿微米黑" w:cs="Arial Unicode MS"/>
          <w:color w:val="30323E"/>
          <w:sz w:val="24"/>
          <w:szCs w:val="24"/>
        </w:rPr>
        <w:t xml:space="preserve"> TiDB </w:t>
      </w:r>
      <w:r w:rsidRPr="00780196">
        <w:rPr>
          <w:rFonts w:ascii="文泉驿微米黑" w:eastAsia="文泉驿微米黑" w:hAnsi="文泉驿微米黑" w:cs="Arial Unicode MS"/>
          <w:color w:val="30323E"/>
          <w:sz w:val="24"/>
          <w:szCs w:val="24"/>
        </w:rPr>
        <w:t>生态中任何组件时，</w:t>
      </w:r>
      <w:r w:rsidRPr="00780196">
        <w:rPr>
          <w:rFonts w:ascii="文泉驿微米黑" w:eastAsia="文泉驿微米黑" w:hAnsi="文泉驿微米黑" w:cs="Arial Unicode MS"/>
          <w:color w:val="30323E"/>
          <w:sz w:val="24"/>
          <w:szCs w:val="24"/>
        </w:rPr>
        <w:t>只需要执行</w:t>
      </w:r>
      <w:r w:rsidRPr="00780196">
        <w:rPr>
          <w:rFonts w:ascii="文泉驿微米黑" w:eastAsia="文泉驿微米黑" w:hAnsi="文泉驿微米黑" w:cs="Arial Unicode MS"/>
          <w:color w:val="30323E"/>
          <w:sz w:val="24"/>
          <w:szCs w:val="24"/>
        </w:rPr>
        <w:t xml:space="preserve"> TiUP </w:t>
      </w:r>
      <w:r w:rsidRPr="00780196">
        <w:rPr>
          <w:rFonts w:ascii="文泉驿微米黑" w:eastAsia="文泉驿微米黑" w:hAnsi="文泉驿微米黑" w:cs="Arial Unicode MS"/>
          <w:color w:val="30323E"/>
          <w:sz w:val="24"/>
          <w:szCs w:val="24"/>
        </w:rPr>
        <w:t>一行命令即可，相比以前，极大地降低了管理难度。</w:t>
      </w:r>
    </w:p>
    <w:sectPr w:rsidR="006E5F0C" w:rsidRPr="00780196">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48CEC" w14:textId="77777777" w:rsidR="00D2464C" w:rsidRDefault="00D2464C">
      <w:pPr>
        <w:spacing w:line="240" w:lineRule="auto"/>
      </w:pPr>
      <w:r>
        <w:separator/>
      </w:r>
    </w:p>
  </w:endnote>
  <w:endnote w:type="continuationSeparator" w:id="0">
    <w:p w14:paraId="511380E8" w14:textId="77777777" w:rsidR="00D2464C" w:rsidRDefault="00D24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Helvetica Neue">
    <w:charset w:val="00"/>
    <w:family w:val="auto"/>
    <w:pitch w:val="default"/>
  </w:font>
  <w:font w:name="文泉驿微米黑">
    <w:altName w:val="文泉驿微米黑"/>
    <w:panose1 w:val="020B0606030804020204"/>
    <w:charset w:val="86"/>
    <w:family w:val="swiss"/>
    <w:pitch w:val="variable"/>
    <w:sig w:usb0="E10002EF" w:usb1="6BDFFCFB" w:usb2="00800036" w:usb3="00000000" w:csb0="003E019F" w:csb1="00000000"/>
  </w:font>
  <w:font w:name="Arial Unicode MS">
    <w:altName w:val="Arial"/>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0AB5" w14:textId="77777777" w:rsidR="006E5F0C" w:rsidRDefault="00D2464C">
    <w:pPr>
      <w:widowControl w:val="0"/>
      <w:spacing w:line="240" w:lineRule="auto"/>
      <w:jc w:val="both"/>
      <w:rPr>
        <w:rFonts w:ascii="仿宋" w:eastAsia="仿宋" w:hAnsi="仿宋" w:cs="仿宋"/>
        <w:sz w:val="16"/>
        <w:szCs w:val="16"/>
      </w:rPr>
    </w:pPr>
    <w:r>
      <w:rPr>
        <w:rFonts w:ascii="仿宋" w:eastAsia="仿宋" w:hAnsi="仿宋" w:cs="仿宋"/>
        <w:sz w:val="16"/>
        <w:szCs w:val="16"/>
      </w:rPr>
      <w:t xml:space="preserve">© </w:t>
    </w:r>
    <w:r>
      <w:rPr>
        <w:rFonts w:ascii="仿宋" w:eastAsia="仿宋" w:hAnsi="仿宋" w:cs="仿宋"/>
        <w:sz w:val="16"/>
        <w:szCs w:val="16"/>
      </w:rPr>
      <w:t xml:space="preserve">2022 PingCAP </w:t>
    </w:r>
    <w:r>
      <w:rPr>
        <w:rFonts w:ascii="仿宋" w:eastAsia="仿宋" w:hAnsi="仿宋" w:cs="仿宋"/>
        <w:sz w:val="16"/>
        <w:szCs w:val="16"/>
      </w:rPr>
      <w:t>公司保留所有权利。除非版权法允许，否则在未得到本公司事先给出的书面许可情况下，严禁复制、改编或翻译本文。</w:t>
    </w:r>
  </w:p>
  <w:p w14:paraId="1594B512" w14:textId="77777777" w:rsidR="006E5F0C" w:rsidRDefault="00D2464C">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780196">
      <w:rPr>
        <w:rFonts w:ascii="仿宋" w:eastAsia="仿宋" w:hAnsi="仿宋" w:cs="仿宋"/>
        <w:noProof/>
        <w:sz w:val="16"/>
        <w:szCs w:val="16"/>
      </w:rPr>
      <w:t>2</w:t>
    </w:r>
    <w:r>
      <w:rPr>
        <w:rFonts w:ascii="仿宋" w:eastAsia="仿宋" w:hAnsi="仿宋" w:cs="仿宋"/>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8740" w14:textId="77777777" w:rsidR="006E5F0C" w:rsidRDefault="00D2464C">
    <w:pPr>
      <w:jc w:val="right"/>
    </w:pPr>
    <w:r>
      <w:fldChar w:fldCharType="begin"/>
    </w:r>
    <w:r>
      <w:instrText>PAGE</w:instrText>
    </w:r>
    <w:r>
      <w:fldChar w:fldCharType="separate"/>
    </w:r>
    <w:r w:rsidR="0078019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EB477" w14:textId="77777777" w:rsidR="00D2464C" w:rsidRDefault="00D2464C">
      <w:pPr>
        <w:spacing w:line="240" w:lineRule="auto"/>
      </w:pPr>
      <w:r>
        <w:separator/>
      </w:r>
    </w:p>
  </w:footnote>
  <w:footnote w:type="continuationSeparator" w:id="0">
    <w:p w14:paraId="2591E892" w14:textId="77777777" w:rsidR="00D2464C" w:rsidRDefault="00D246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5D4C" w14:textId="77777777" w:rsidR="006E5F0C" w:rsidRDefault="00D2464C">
    <w:pPr>
      <w:jc w:val="right"/>
    </w:pPr>
    <w:r>
      <w:rPr>
        <w:noProof/>
      </w:rPr>
      <w:drawing>
        <wp:inline distT="114300" distB="114300" distL="114300" distR="114300" wp14:anchorId="0E677F2B" wp14:editId="3386409B">
          <wp:extent cx="828675" cy="190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28675" cy="190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920C" w14:textId="77777777" w:rsidR="006E5F0C" w:rsidRDefault="00D2464C">
    <w:pPr>
      <w:jc w:val="right"/>
    </w:pPr>
    <w:r>
      <w:rPr>
        <w:noProof/>
      </w:rPr>
      <w:drawing>
        <wp:inline distT="114300" distB="114300" distL="114300" distR="114300" wp14:anchorId="406945B0" wp14:editId="21A34070">
          <wp:extent cx="951309" cy="2238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51309" cy="2238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128A"/>
    <w:multiLevelType w:val="multilevel"/>
    <w:tmpl w:val="C274761C"/>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771E3F"/>
    <w:multiLevelType w:val="multilevel"/>
    <w:tmpl w:val="17F0B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3366E7"/>
    <w:multiLevelType w:val="multilevel"/>
    <w:tmpl w:val="CD724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F43AB2"/>
    <w:multiLevelType w:val="multilevel"/>
    <w:tmpl w:val="F7EA6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5A02C6"/>
    <w:multiLevelType w:val="multilevel"/>
    <w:tmpl w:val="3DFA3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F70A0E"/>
    <w:multiLevelType w:val="multilevel"/>
    <w:tmpl w:val="B9F6C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0C"/>
    <w:rsid w:val="006E5F0C"/>
    <w:rsid w:val="00780196"/>
    <w:rsid w:val="00D2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31936"/>
  <w15:docId w15:val="{815D0A9B-2995-4399-AFBC-636E349D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微软雅黑" w:eastAsia="微软雅黑" w:hAnsi="微软雅黑" w:cs="微软雅黑"/>
      <w:b/>
      <w:sz w:val="40"/>
      <w:szCs w:val="40"/>
    </w:rPr>
  </w:style>
  <w:style w:type="paragraph" w:styleId="2">
    <w:name w:val="heading 2"/>
    <w:basedOn w:val="a"/>
    <w:next w:val="a"/>
    <w:uiPriority w:val="9"/>
    <w:unhideWhenUsed/>
    <w:qFormat/>
    <w:pPr>
      <w:keepNext/>
      <w:keepLines/>
      <w:shd w:val="clear" w:color="auto" w:fill="FFFFFF"/>
      <w:spacing w:before="240" w:after="240" w:line="240" w:lineRule="auto"/>
      <w:outlineLvl w:val="1"/>
    </w:pPr>
    <w:rPr>
      <w:rFonts w:ascii="Helvetica Neue" w:eastAsia="Helvetica Neue" w:hAnsi="Helvetica Neue" w:cs="Helvetica Neue"/>
      <w:b/>
      <w:sz w:val="32"/>
      <w:szCs w:val="32"/>
    </w:rPr>
  </w:style>
  <w:style w:type="paragraph" w:styleId="3">
    <w:name w:val="heading 3"/>
    <w:basedOn w:val="a"/>
    <w:next w:val="a"/>
    <w:uiPriority w:val="9"/>
    <w:semiHidden/>
    <w:unhideWhenUsed/>
    <w:qFormat/>
    <w:pPr>
      <w:keepNext/>
      <w:keepLines/>
      <w:spacing w:line="240" w:lineRule="auto"/>
      <w:outlineLvl w:val="2"/>
    </w:pPr>
    <w:rPr>
      <w:rFonts w:ascii="Helvetica Neue" w:eastAsia="Helvetica Neue" w:hAnsi="Helvetica Neue" w:cs="Helvetica Neue"/>
      <w:b/>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cs.pingcap.com/zh/tidb-in-kubernetes/v1.1/tidb-operator-overview" TargetMode="External"/><Relationship Id="rId18" Type="http://schemas.openxmlformats.org/officeDocument/2006/relationships/hyperlink" Target="https://zh.wikipedia.org/wiki/%E5%BF%AB%E7%85%A7%E9%9A%94%E7%A6%B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hyperlink" Target="https://zh.wikipedia.org/wiki/%E4%BA%8B%E5%8B%99%E9%9A%94%E9%9B%A2" TargetMode="External"/><Relationship Id="rId2" Type="http://schemas.openxmlformats.org/officeDocument/2006/relationships/styles" Target="styles.xml"/><Relationship Id="rId16" Type="http://schemas.openxmlformats.org/officeDocument/2006/relationships/hyperlink" Target="https://zh.wikipedia.org/wiki/%E5%BF%AB%E7%85%A7_(%E9%9B%BB%E8%85%A6%E5%84%B2%E5%AD%9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zh.wikipedia.org/wiki/%E8%AF%BB%E5%86%99%E9%94%81" TargetMode="External"/><Relationship Id="rId10" Type="http://schemas.openxmlformats.org/officeDocument/2006/relationships/header" Target="header2.xml"/><Relationship Id="rId19" Type="http://schemas.openxmlformats.org/officeDocument/2006/relationships/hyperlink" Target="https://raft.github.io/raft.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1320</Words>
  <Characters>7528</Characters>
  <Application>Microsoft Office Word</Application>
  <DocSecurity>0</DocSecurity>
  <Lines>62</Lines>
  <Paragraphs>17</Paragraphs>
  <ScaleCrop>false</ScaleCrop>
  <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2</cp:revision>
  <dcterms:created xsi:type="dcterms:W3CDTF">2022-03-16T08:51:00Z</dcterms:created>
  <dcterms:modified xsi:type="dcterms:W3CDTF">2022-03-16T08:52:00Z</dcterms:modified>
</cp:coreProperties>
</file>