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23C4E" w14:textId="77777777" w:rsidR="00B73BB6" w:rsidRPr="00CE78C5" w:rsidRDefault="00B73BB6">
      <w:pPr>
        <w:spacing w:line="360" w:lineRule="auto"/>
        <w:rPr>
          <w:rFonts w:ascii="文泉驿微米黑" w:eastAsia="文泉驿微米黑" w:hAnsi="文泉驿微米黑" w:cs="Helvetica Neue"/>
          <w:sz w:val="28"/>
          <w:szCs w:val="28"/>
          <w:u w:val="single"/>
        </w:rPr>
      </w:pPr>
    </w:p>
    <w:p w14:paraId="7C606D40" w14:textId="77777777" w:rsidR="00B73BB6" w:rsidRPr="00CE78C5" w:rsidRDefault="007560EB">
      <w:pPr>
        <w:pStyle w:val="a3"/>
        <w:spacing w:line="360" w:lineRule="auto"/>
        <w:rPr>
          <w:rFonts w:ascii="文泉驿微米黑" w:eastAsia="文泉驿微米黑" w:hAnsi="文泉驿微米黑" w:cs="Helvetica Neue"/>
        </w:rPr>
      </w:pPr>
      <w:bookmarkStart w:id="0" w:name="_k6244wyqv0dj" w:colFirst="0" w:colLast="0"/>
      <w:bookmarkEnd w:id="0"/>
      <w:r w:rsidRPr="00CE78C5">
        <w:rPr>
          <w:rFonts w:ascii="文泉驿微米黑" w:eastAsia="文泉驿微米黑" w:hAnsi="文泉驿微米黑" w:cs="Helvetica Neue"/>
          <w:noProof/>
        </w:rPr>
        <w:drawing>
          <wp:anchor distT="114300" distB="114300" distL="114300" distR="114300" simplePos="0" relativeHeight="251658240" behindDoc="0" locked="0" layoutInCell="1" hidden="0" allowOverlap="1" wp14:anchorId="2C7E50E1" wp14:editId="04F197D7">
            <wp:simplePos x="0" y="0"/>
            <wp:positionH relativeFrom="page">
              <wp:posOffset>-73151</wp:posOffset>
            </wp:positionH>
            <wp:positionV relativeFrom="page">
              <wp:posOffset>-9143</wp:posOffset>
            </wp:positionV>
            <wp:extent cx="7727391" cy="10917936"/>
            <wp:effectExtent l="0" t="0" r="0" b="0"/>
            <wp:wrapNone/>
            <wp:docPr id="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27391" cy="109179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A4C2631" w14:textId="77777777" w:rsidR="00B73BB6" w:rsidRPr="00CE78C5" w:rsidRDefault="00B73BB6">
      <w:pPr>
        <w:spacing w:line="360" w:lineRule="auto"/>
        <w:rPr>
          <w:rFonts w:ascii="文泉驿微米黑" w:eastAsia="文泉驿微米黑" w:hAnsi="文泉驿微米黑" w:cs="Helvetica Neue"/>
        </w:rPr>
      </w:pPr>
    </w:p>
    <w:p w14:paraId="7661D5AD" w14:textId="77777777" w:rsidR="00B73BB6" w:rsidRPr="00CE78C5" w:rsidRDefault="007560EB">
      <w:pPr>
        <w:spacing w:line="360" w:lineRule="auto"/>
        <w:jc w:val="center"/>
        <w:rPr>
          <w:rFonts w:ascii="文泉驿微米黑" w:eastAsia="文泉驿微米黑" w:hAnsi="文泉驿微米黑" w:cs="Helvetica Neue"/>
          <w:sz w:val="52"/>
          <w:szCs w:val="52"/>
        </w:rPr>
      </w:pPr>
      <w:r w:rsidRPr="00CE78C5">
        <w:rPr>
          <w:rFonts w:ascii="文泉驿微米黑" w:eastAsia="文泉驿微米黑" w:hAnsi="文泉驿微米黑" w:cs="Helvetica Neue"/>
          <w:sz w:val="52"/>
          <w:szCs w:val="52"/>
        </w:rPr>
        <w:t>PingCAP</w:t>
      </w:r>
    </w:p>
    <w:p w14:paraId="224F50AD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57D6B604" w14:textId="77777777" w:rsidR="00B73BB6" w:rsidRPr="00CE78C5" w:rsidRDefault="007560EB">
      <w:pPr>
        <w:pStyle w:val="a3"/>
        <w:spacing w:line="360" w:lineRule="auto"/>
        <w:jc w:val="center"/>
        <w:rPr>
          <w:rFonts w:ascii="文泉驿微米黑" w:eastAsia="文泉驿微米黑" w:hAnsi="文泉驿微米黑" w:cs="Helvetica Neue"/>
          <w:sz w:val="22"/>
          <w:szCs w:val="22"/>
        </w:rPr>
      </w:pPr>
      <w:bookmarkStart w:id="1" w:name="_lmjt8mnivwzr" w:colFirst="0" w:colLast="0"/>
      <w:bookmarkEnd w:id="1"/>
      <w:r w:rsidRPr="00CE78C5">
        <w:rPr>
          <w:rFonts w:ascii="文泉驿微米黑" w:eastAsia="文泉驿微米黑" w:hAnsi="文泉驿微米黑" w:cs="Arial Unicode MS"/>
          <w:sz w:val="22"/>
          <w:szCs w:val="22"/>
        </w:rPr>
        <w:t>平凯星辰（北京）科技有限公司</w:t>
      </w:r>
    </w:p>
    <w:p w14:paraId="6311A7FE" w14:textId="77777777" w:rsidR="00B73BB6" w:rsidRPr="00CE78C5" w:rsidRDefault="007560EB">
      <w:pPr>
        <w:pStyle w:val="1"/>
        <w:spacing w:line="360" w:lineRule="auto"/>
        <w:rPr>
          <w:rFonts w:ascii="文泉驿微米黑" w:eastAsia="文泉驿微米黑" w:hAnsi="文泉驿微米黑" w:cs="Helvetica Neue"/>
        </w:rPr>
      </w:pPr>
      <w:bookmarkStart w:id="2" w:name="_zdn1prtkm2h7" w:colFirst="0" w:colLast="0"/>
      <w:bookmarkEnd w:id="2"/>
      <w:r w:rsidRPr="00CE78C5">
        <w:rPr>
          <w:rFonts w:ascii="文泉驿微米黑" w:eastAsia="文泉驿微米黑" w:hAnsi="文泉驿微米黑" w:cs="Helvetica Neue"/>
        </w:rPr>
        <w:t xml:space="preserve"> </w:t>
      </w:r>
    </w:p>
    <w:p w14:paraId="3766B4BC" w14:textId="77777777" w:rsidR="00B73BB6" w:rsidRPr="00CE78C5" w:rsidRDefault="00B73BB6">
      <w:pPr>
        <w:pStyle w:val="a3"/>
        <w:spacing w:line="360" w:lineRule="auto"/>
        <w:jc w:val="center"/>
        <w:rPr>
          <w:rFonts w:ascii="文泉驿微米黑" w:eastAsia="文泉驿微米黑" w:hAnsi="文泉驿微米黑" w:cs="Helvetica Neue"/>
        </w:rPr>
      </w:pPr>
      <w:bookmarkStart w:id="3" w:name="_u4i8jalntqel" w:colFirst="0" w:colLast="0"/>
      <w:bookmarkEnd w:id="3"/>
    </w:p>
    <w:p w14:paraId="7A3054A1" w14:textId="77777777" w:rsidR="00B73BB6" w:rsidRPr="00CE78C5" w:rsidRDefault="007560EB">
      <w:pPr>
        <w:pStyle w:val="a3"/>
        <w:spacing w:line="360" w:lineRule="auto"/>
        <w:jc w:val="center"/>
        <w:rPr>
          <w:rFonts w:ascii="文泉驿微米黑" w:eastAsia="文泉驿微米黑" w:hAnsi="文泉驿微米黑" w:cs="Helvetica Neue"/>
        </w:rPr>
      </w:pPr>
      <w:bookmarkStart w:id="4" w:name="_7cd44kvz9n24" w:colFirst="0" w:colLast="0"/>
      <w:bookmarkEnd w:id="4"/>
      <w:r w:rsidRPr="00CE78C5">
        <w:rPr>
          <w:rFonts w:ascii="文泉驿微米黑" w:eastAsia="文泉驿微米黑" w:hAnsi="文泉驿微米黑" w:cs="Arial Unicode MS"/>
        </w:rPr>
        <w:t>TiDB 安全白皮书（企业版）</w:t>
      </w:r>
    </w:p>
    <w:p w14:paraId="2B2B9781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426002CF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78589BF5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7A640142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69913989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035920A7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0D465F04" w14:textId="77777777" w:rsidR="00B73BB6" w:rsidRPr="00CE78C5" w:rsidRDefault="007560EB">
      <w:pPr>
        <w:spacing w:line="360" w:lineRule="auto"/>
        <w:ind w:left="2880" w:firstLine="720"/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</w:rPr>
        <w:t>产品版本：v5.3</w:t>
      </w:r>
    </w:p>
    <w:p w14:paraId="5FB7E6B5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2D1A87D2" w14:textId="77777777" w:rsidR="00B73BB6" w:rsidRPr="00CE78C5" w:rsidRDefault="007560EB">
      <w:pPr>
        <w:spacing w:line="360" w:lineRule="auto"/>
        <w:ind w:left="2880" w:firstLine="720"/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</w:rPr>
        <w:t>文档版本：20220331</w:t>
      </w:r>
    </w:p>
    <w:p w14:paraId="6DD94380" w14:textId="77777777" w:rsidR="00B73BB6" w:rsidRPr="00CE78C5" w:rsidRDefault="00B73BB6">
      <w:pPr>
        <w:spacing w:line="360" w:lineRule="auto"/>
        <w:jc w:val="center"/>
        <w:rPr>
          <w:rFonts w:ascii="文泉驿微米黑" w:eastAsia="文泉驿微米黑" w:hAnsi="文泉驿微米黑" w:cs="Helvetica Neue"/>
        </w:rPr>
      </w:pPr>
    </w:p>
    <w:p w14:paraId="5DCD922D" w14:textId="77777777" w:rsidR="00B73BB6" w:rsidRPr="00060BDF" w:rsidRDefault="007560EB" w:rsidP="00060BDF">
      <w:pPr>
        <w:jc w:val="center"/>
        <w:rPr>
          <w:rFonts w:ascii="文泉驿微米黑" w:eastAsia="文泉驿微米黑" w:hAnsi="文泉驿微米黑" w:cs="Helvetica Neue"/>
          <w:sz w:val="40"/>
          <w:szCs w:val="40"/>
        </w:rPr>
      </w:pPr>
      <w:bookmarkStart w:id="5" w:name="_d11okltx2re6" w:colFirst="0" w:colLast="0"/>
      <w:bookmarkEnd w:id="5"/>
      <w:r w:rsidRPr="00060BDF">
        <w:rPr>
          <w:rFonts w:ascii="文泉驿微米黑" w:eastAsia="文泉驿微米黑" w:hAnsi="文泉驿微米黑"/>
          <w:sz w:val="40"/>
          <w:szCs w:val="40"/>
        </w:rPr>
        <w:lastRenderedPageBreak/>
        <w:t>法律声明</w:t>
      </w:r>
    </w:p>
    <w:p w14:paraId="326DAFE6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PingCAP 提醒您在阅读或使用本文档之前仔细阅读、充分理解本法律声明各条款的内容。如果您阅读或使用本文档，您的阅读或使用行为将被视为对本声明全部内容的认可。</w:t>
      </w:r>
    </w:p>
    <w:p w14:paraId="3501E572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1. 您应当通过 PingCAP 网站或 PingCAP 提供的其他授权通道下载、获取本文档，且仅能用于自身的合法合</w:t>
      </w:r>
      <w:proofErr w:type="gramStart"/>
      <w:r w:rsidRPr="00CE78C5">
        <w:rPr>
          <w:rFonts w:ascii="文泉驿微米黑" w:eastAsia="文泉驿微米黑" w:hAnsi="文泉驿微米黑" w:cs="Arial Unicode MS"/>
          <w:sz w:val="20"/>
          <w:szCs w:val="20"/>
        </w:rPr>
        <w:t>规</w:t>
      </w:r>
      <w:proofErr w:type="gramEnd"/>
      <w:r w:rsidRPr="00CE78C5">
        <w:rPr>
          <w:rFonts w:ascii="文泉驿微米黑" w:eastAsia="文泉驿微米黑" w:hAnsi="文泉驿微米黑" w:cs="Arial Unicode MS"/>
          <w:sz w:val="20"/>
          <w:szCs w:val="20"/>
        </w:rPr>
        <w:t>的业务活动。本文档的内容视为 PingCAP 的保密信息，您应当严格遵守保密义务；未经 PingCAP 事先书面同意，</w:t>
      </w:r>
      <w:proofErr w:type="gramStart"/>
      <w:r w:rsidRPr="00CE78C5">
        <w:rPr>
          <w:rFonts w:ascii="文泉驿微米黑" w:eastAsia="文泉驿微米黑" w:hAnsi="文泉驿微米黑" w:cs="Arial Unicode MS"/>
          <w:sz w:val="20"/>
          <w:szCs w:val="20"/>
        </w:rPr>
        <w:t>您不得</w:t>
      </w:r>
      <w:proofErr w:type="gramEnd"/>
      <w:r w:rsidRPr="00CE78C5">
        <w:rPr>
          <w:rFonts w:ascii="文泉驿微米黑" w:eastAsia="文泉驿微米黑" w:hAnsi="文泉驿微米黑" w:cs="Arial Unicode MS"/>
          <w:sz w:val="20"/>
          <w:szCs w:val="20"/>
        </w:rPr>
        <w:t>向任何第三方披露本手册内容或提供给任何第三方使用。</w:t>
      </w:r>
    </w:p>
    <w:p w14:paraId="24CC068E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2. 未经 PingCAP 事先书面许可，任何单位、公司或个人不得擅自摘抄、翻译、复制本文档内容的部分或全部，不得以任何方式或途径进行传播和宣传。</w:t>
      </w:r>
    </w:p>
    <w:p w14:paraId="42243BA5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3. 由于产品版本升级、调整或其他原因，本文档内容有可能变更。PingCAP 保留在没有任何通知或者提示下对本文档的内容进行修改的权利，并在 PingCAP 授权通道中不时发布更新后的用户文档。您应当实时关注用户文档的版本变更并通过 PingCAP 网站或 PingCAP 授权渠道下载、获取最新版的用户文档。</w:t>
      </w:r>
    </w:p>
    <w:p w14:paraId="0310FC6A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4. 本文档仅作为用户使用 PingCAP 产品及服务的参考性指引，PingCAP 以产品及服务的“现状”、“有缺陷”和“当前功能”的状态提供本文档。PingCAP 在现有技术的基础上尽最大努力提供相应的介绍及操作指引，但 PingCAP 在此明确声明对本文档内容的准确性、完整性、适用性、可靠性等不作任何明示或暗示的保证，本文档所引用的性能数据和程序示例仅用于说明目的，实际的性能结果可能因特定配置和操作条件而异。任何单位、公司或个人因为下载、使用或信赖本文档而发生任何差错或经济损失的， PingCAP 不承担任何法律责任。在任何情况下，PingCAP 均不对任何间接性、后果性、惩戒性、偶然性、特殊性或刑罚性的损害，包括用户使用或信赖本文档而遭受的利润损失，承担责任（即使 PingCAP 已被告知该等损失的可能性）。</w:t>
      </w:r>
    </w:p>
    <w:p w14:paraId="3DB02F52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5. 本文档中及PingCAP 网站上所有内容，包括但不限于作品、产品、图片、档案、资讯、资料、网站架构、网站画面的安排、网页设计等，均由 PingCAP 和/或其关联公司依法拥有其知识产权，包括但不限于商标权、专利权、著作权、商业秘密等。非经 PingCAP 和/或其关联公司书面同意，任何人不得擅自使用、修改、复制、公开传播、改变、散布、发行或公开发表 PingCAP 网站、产品程序或包括本文档在内的内容。此外，未经 PingCAP 事先书面同意，任何人不得以任何目的使用 PingCAP 商标（包括但不限于单独为或以组合形式包含“PingCAP”等 PingCAP 和/或其关联公司品牌，上述品牌的附属标志</w:t>
      </w:r>
      <w:r w:rsidRPr="00CE78C5">
        <w:rPr>
          <w:rFonts w:ascii="文泉驿微米黑" w:eastAsia="文泉驿微米黑" w:hAnsi="文泉驿微米黑" w:cs="Arial Unicode MS"/>
          <w:sz w:val="20"/>
          <w:szCs w:val="20"/>
        </w:rPr>
        <w:lastRenderedPageBreak/>
        <w:t>及图案或任何类似公司名称、商号、商标、产品或服务名称、域名、图案标示、标志、标识或通过特定描述使第三方能够识别 PingCAP 和/或其关联公司）。</w:t>
      </w:r>
    </w:p>
    <w:p w14:paraId="2B143B34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6. PingCAP 可能拥有涵盖本文档中描述的主题的专利或者专利申请，未经 PingCAP 事先书面许可，本文档并不授予您关于这些专利或专利申请的任何许可。</w:t>
      </w:r>
    </w:p>
    <w:p w14:paraId="422FFF46" w14:textId="77777777" w:rsidR="00B73BB6" w:rsidRPr="00CE78C5" w:rsidRDefault="007560EB">
      <w:pPr>
        <w:spacing w:before="240" w:after="240"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7. 本文档中如有关于 PingCAP 未来方向或意图的声明，仅表示目标或者目的， 如有更改或撤销，恕不另行通知。</w:t>
      </w:r>
    </w:p>
    <w:p w14:paraId="466101E9" w14:textId="77777777" w:rsidR="00B73BB6" w:rsidRPr="00CE78C5" w:rsidRDefault="007560EB">
      <w:pPr>
        <w:spacing w:line="360" w:lineRule="auto"/>
        <w:rPr>
          <w:rFonts w:ascii="文泉驿微米黑" w:eastAsia="文泉驿微米黑" w:hAnsi="文泉驿微米黑" w:cs="Helvetica Neue"/>
          <w:sz w:val="20"/>
          <w:szCs w:val="20"/>
        </w:rPr>
      </w:pPr>
      <w:r w:rsidRPr="00CE78C5">
        <w:rPr>
          <w:rFonts w:ascii="文泉驿微米黑" w:eastAsia="文泉驿微米黑" w:hAnsi="文泉驿微米黑" w:cs="Arial Unicode MS"/>
          <w:sz w:val="20"/>
          <w:szCs w:val="20"/>
        </w:rPr>
        <w:t>8. 如若发现本文档存在任何错误，请与 PingCAP 取得直接联系。PingCAP 可能会以它认为合适的任何方式使用或分发您提供的任何信息，而无需对</w:t>
      </w:r>
      <w:proofErr w:type="gramStart"/>
      <w:r w:rsidRPr="00CE78C5">
        <w:rPr>
          <w:rFonts w:ascii="文泉驿微米黑" w:eastAsia="文泉驿微米黑" w:hAnsi="文泉驿微米黑" w:cs="Arial Unicode MS"/>
          <w:sz w:val="20"/>
          <w:szCs w:val="20"/>
        </w:rPr>
        <w:t>您承担</w:t>
      </w:r>
      <w:proofErr w:type="gramEnd"/>
      <w:r w:rsidRPr="00CE78C5">
        <w:rPr>
          <w:rFonts w:ascii="文泉驿微米黑" w:eastAsia="文泉驿微米黑" w:hAnsi="文泉驿微米黑" w:cs="Arial Unicode MS"/>
          <w:sz w:val="20"/>
          <w:szCs w:val="20"/>
        </w:rPr>
        <w:t>任何义务。</w:t>
      </w:r>
      <w:r w:rsidRPr="00CE78C5">
        <w:rPr>
          <w:rFonts w:ascii="文泉驿微米黑" w:eastAsia="文泉驿微米黑" w:hAnsi="文泉驿微米黑"/>
        </w:rPr>
        <w:br w:type="page"/>
      </w:r>
    </w:p>
    <w:p w14:paraId="12932D8D" w14:textId="77777777" w:rsidR="00B73BB6" w:rsidRPr="00060BDF" w:rsidRDefault="007560EB" w:rsidP="00060BDF">
      <w:pPr>
        <w:jc w:val="center"/>
        <w:rPr>
          <w:rFonts w:ascii="文泉驿微米黑" w:eastAsia="文泉驿微米黑" w:hAnsi="文泉驿微米黑"/>
          <w:sz w:val="40"/>
          <w:szCs w:val="40"/>
        </w:rPr>
      </w:pPr>
      <w:bookmarkStart w:id="6" w:name="_kk25v9yulsde" w:colFirst="0" w:colLast="0"/>
      <w:bookmarkEnd w:id="6"/>
      <w:r w:rsidRPr="00060BDF">
        <w:rPr>
          <w:rFonts w:ascii="文泉驿微米黑" w:eastAsia="文泉驿微米黑" w:hAnsi="文泉驿微米黑"/>
          <w:sz w:val="40"/>
          <w:szCs w:val="40"/>
        </w:rPr>
        <w:lastRenderedPageBreak/>
        <w:t>目 录</w:t>
      </w:r>
    </w:p>
    <w:p w14:paraId="33472EE6" w14:textId="77777777" w:rsidR="00B73BB6" w:rsidRPr="00CE78C5" w:rsidRDefault="00B73BB6">
      <w:pPr>
        <w:jc w:val="center"/>
        <w:rPr>
          <w:rFonts w:ascii="文泉驿微米黑" w:eastAsia="文泉驿微米黑" w:hAnsi="文泉驿微米黑" w:cs="Helvetica Neue"/>
          <w:sz w:val="32"/>
          <w:szCs w:val="32"/>
        </w:rPr>
      </w:pPr>
    </w:p>
    <w:sdt>
      <w:sdtPr>
        <w:rPr>
          <w:rFonts w:ascii="文泉驿微米黑" w:eastAsia="文泉驿微米黑" w:hAnsi="文泉驿微米黑"/>
        </w:rPr>
        <w:id w:val="1004940347"/>
        <w:docPartObj>
          <w:docPartGallery w:val="Table of Contents"/>
          <w:docPartUnique/>
        </w:docPartObj>
      </w:sdtPr>
      <w:sdtEndPr/>
      <w:sdtContent>
        <w:p w14:paraId="1D4B5C7F" w14:textId="4644E171" w:rsidR="001C1A60" w:rsidRDefault="007560EB">
          <w:pPr>
            <w:pStyle w:val="TOC1"/>
            <w:tabs>
              <w:tab w:val="right" w:pos="9019"/>
            </w:tabs>
            <w:rPr>
              <w:noProof/>
            </w:rPr>
          </w:pPr>
          <w:r w:rsidRPr="00CE78C5">
            <w:rPr>
              <w:rFonts w:ascii="文泉驿微米黑" w:eastAsia="文泉驿微米黑" w:hAnsi="文泉驿微米黑"/>
            </w:rPr>
            <w:fldChar w:fldCharType="begin"/>
          </w:r>
          <w:r w:rsidRPr="00CE78C5">
            <w:rPr>
              <w:rFonts w:ascii="文泉驿微米黑" w:eastAsia="文泉驿微米黑" w:hAnsi="文泉驿微米黑"/>
            </w:rPr>
            <w:instrText xml:space="preserve"> TOC \h \u \z </w:instrText>
          </w:r>
          <w:r w:rsidRPr="00CE78C5">
            <w:rPr>
              <w:rFonts w:ascii="文泉驿微米黑" w:eastAsia="文泉驿微米黑" w:hAnsi="文泉驿微米黑"/>
            </w:rPr>
            <w:fldChar w:fldCharType="separate"/>
          </w:r>
          <w:hyperlink w:anchor="_Toc98332765" w:history="1">
            <w:r w:rsidR="001C1A60"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TiDB 安全性简介</w:t>
            </w:r>
            <w:r w:rsidR="001C1A60">
              <w:rPr>
                <w:noProof/>
                <w:webHidden/>
              </w:rPr>
              <w:tab/>
            </w:r>
            <w:r w:rsidR="001C1A60">
              <w:rPr>
                <w:noProof/>
                <w:webHidden/>
              </w:rPr>
              <w:fldChar w:fldCharType="begin"/>
            </w:r>
            <w:r w:rsidR="001C1A60">
              <w:rPr>
                <w:noProof/>
                <w:webHidden/>
              </w:rPr>
              <w:instrText xml:space="preserve"> PAGEREF _Toc98332765 \h </w:instrText>
            </w:r>
            <w:r w:rsidR="001C1A60">
              <w:rPr>
                <w:noProof/>
                <w:webHidden/>
              </w:rPr>
            </w:r>
            <w:r w:rsidR="001C1A60">
              <w:rPr>
                <w:noProof/>
                <w:webHidden/>
              </w:rPr>
              <w:fldChar w:fldCharType="separate"/>
            </w:r>
            <w:r w:rsidR="001C1A60">
              <w:rPr>
                <w:noProof/>
                <w:webHidden/>
              </w:rPr>
              <w:t>5</w:t>
            </w:r>
            <w:r w:rsidR="001C1A60">
              <w:rPr>
                <w:noProof/>
                <w:webHidden/>
              </w:rPr>
              <w:fldChar w:fldCharType="end"/>
            </w:r>
          </w:hyperlink>
        </w:p>
        <w:p w14:paraId="6F282570" w14:textId="2C4540EB" w:rsidR="001C1A60" w:rsidRDefault="001C1A60">
          <w:pPr>
            <w:pStyle w:val="TOC1"/>
            <w:tabs>
              <w:tab w:val="right" w:pos="9019"/>
            </w:tabs>
            <w:rPr>
              <w:noProof/>
            </w:rPr>
          </w:pPr>
          <w:hyperlink w:anchor="_Toc98332766" w:history="1">
            <w:r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数据库安全风险分析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_Toc98332766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312774" w14:textId="115A454B" w:rsidR="001C1A60" w:rsidRDefault="001C1A60">
          <w:pPr>
            <w:pStyle w:val="TOC1"/>
            <w:tabs>
              <w:tab w:val="right" w:pos="9019"/>
            </w:tabs>
            <w:rPr>
              <w:noProof/>
            </w:rPr>
          </w:pPr>
          <w:hyperlink w:anchor="_Toc98332767" w:history="1">
            <w:r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TiDB 安全功能介绍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_Toc98332767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C39163" w14:textId="1F3C7A7E" w:rsidR="001C1A60" w:rsidRDefault="001C1A6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68" w:history="1">
            <w:r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访问控制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_Toc98332768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D73BC" w14:textId="3E4B6DE7" w:rsidR="001C1A60" w:rsidRDefault="001C1A6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69" w:history="1">
            <w:r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传输加密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_Toc98332769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3DB4EF" w14:textId="07EFB323" w:rsidR="001C1A60" w:rsidRDefault="001C1A6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0" w:history="1">
            <w:r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权限管理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_Toc98332770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531329" w14:textId="40E38B24" w:rsidR="001C1A60" w:rsidRDefault="001C1A6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1" w:history="1">
            <w:r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存储加密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_Toc98332771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12D9AB" w14:textId="552F5F02" w:rsidR="001C1A60" w:rsidRDefault="001C1A6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2" w:history="1">
            <w:r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日志脱敏数据保护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_Toc98332772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3563CB" w14:textId="2C7D462E" w:rsidR="001C1A60" w:rsidRDefault="001C1A6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3" w:history="1">
            <w:r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审计管理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_Toc98332773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42212A" w14:textId="0FB8B5D7" w:rsidR="001C1A60" w:rsidRDefault="001C1A60">
          <w:pPr>
            <w:pStyle w:val="TOC1"/>
            <w:tabs>
              <w:tab w:val="right" w:pos="9019"/>
            </w:tabs>
            <w:rPr>
              <w:noProof/>
            </w:rPr>
          </w:pPr>
          <w:hyperlink w:anchor="_Toc98332774" w:history="1">
            <w:r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软件升级及漏洞管理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_Toc98332774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FF077F" w14:textId="660A0FA7" w:rsidR="001C1A60" w:rsidRDefault="001C1A6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5" w:history="1">
            <w:r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软件升级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_Toc98332775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CF78AB" w14:textId="249E7194" w:rsidR="001C1A60" w:rsidRDefault="001C1A60">
          <w:pPr>
            <w:pStyle w:val="TOC2"/>
            <w:tabs>
              <w:tab w:val="right" w:pos="9019"/>
            </w:tabs>
            <w:ind w:left="440"/>
            <w:rPr>
              <w:noProof/>
            </w:rPr>
          </w:pPr>
          <w:hyperlink w:anchor="_Toc98332776" w:history="1">
            <w:r w:rsidRPr="003A6D92">
              <w:rPr>
                <w:rStyle w:val="ad"/>
                <w:rFonts w:ascii="文泉驿微米黑" w:eastAsia="文泉驿微米黑" w:hAnsi="文泉驿微米黑" w:cs="Arial Unicode MS"/>
                <w:noProof/>
              </w:rPr>
              <w:t>漏洞管理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_Toc98332776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24F524" w14:textId="5C54FBC8" w:rsidR="00B73BB6" w:rsidRPr="00CE78C5" w:rsidRDefault="007560EB">
          <w:pPr>
            <w:tabs>
              <w:tab w:val="right" w:pos="9025"/>
            </w:tabs>
            <w:spacing w:before="60" w:after="80" w:line="240" w:lineRule="auto"/>
            <w:ind w:left="360"/>
            <w:rPr>
              <w:rFonts w:ascii="文泉驿微米黑" w:eastAsia="文泉驿微米黑" w:hAnsi="文泉驿微米黑" w:cs="Helvetica Neue"/>
              <w:color w:val="000000"/>
            </w:rPr>
          </w:pPr>
          <w:r w:rsidRPr="00CE78C5">
            <w:rPr>
              <w:rFonts w:ascii="文泉驿微米黑" w:eastAsia="文泉驿微米黑" w:hAnsi="文泉驿微米黑"/>
            </w:rPr>
            <w:fldChar w:fldCharType="end"/>
          </w:r>
        </w:p>
      </w:sdtContent>
    </w:sdt>
    <w:p w14:paraId="4FDD1E46" w14:textId="77777777" w:rsidR="00B73BB6" w:rsidRPr="00CE78C5" w:rsidRDefault="007560EB">
      <w:p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/>
        </w:rPr>
        <w:br w:type="page"/>
      </w:r>
    </w:p>
    <w:p w14:paraId="70DF461C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7" w:name="_Toc98332765"/>
      <w:r w:rsidRPr="00CE78C5">
        <w:rPr>
          <w:rFonts w:ascii="文泉驿微米黑" w:eastAsia="文泉驿微米黑" w:hAnsi="文泉驿微米黑" w:cs="Arial Unicode MS"/>
        </w:rPr>
        <w:lastRenderedPageBreak/>
        <w:t>TiDB 安全性简介</w:t>
      </w:r>
      <w:bookmarkEnd w:id="7"/>
    </w:p>
    <w:p w14:paraId="4091827A" w14:textId="77777777" w:rsidR="00B73BB6" w:rsidRPr="00CE78C5" w:rsidRDefault="007560EB">
      <w:pPr>
        <w:spacing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本手册介绍了 TiDB 数据库产品的安全功能。</w:t>
      </w:r>
    </w:p>
    <w:p w14:paraId="29476826" w14:textId="77777777" w:rsidR="00B73BB6" w:rsidRPr="00CE78C5" w:rsidRDefault="007560EB">
      <w:pPr>
        <w:spacing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是一款定位于在线事务处理与在线分析处理（HTAP）的融合型分布式数据库产品，因此安全功能是 TiDB 数据库产品的关键能力和核心价值。本手册从数据库安全风险分析到 TiDB 安全功能设计，再到 TiDB 的软件升级和漏洞管理，详细地描述了 TiDB 的安全功能。</w:t>
      </w:r>
    </w:p>
    <w:p w14:paraId="33734DE0" w14:textId="77777777" w:rsidR="00B73BB6" w:rsidRPr="00CE78C5" w:rsidRDefault="007560EB">
      <w:pPr>
        <w:spacing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本手册的读者包括并不局限于以下人员：</w:t>
      </w:r>
    </w:p>
    <w:p w14:paraId="697F5C92" w14:textId="77777777" w:rsidR="00B73BB6" w:rsidRPr="00CE78C5" w:rsidRDefault="007560EB">
      <w:pPr>
        <w:numPr>
          <w:ilvl w:val="0"/>
          <w:numId w:val="16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数据库管理员</w:t>
      </w:r>
    </w:p>
    <w:p w14:paraId="560F30D8" w14:textId="77777777" w:rsidR="00B73BB6" w:rsidRPr="00CE78C5" w:rsidRDefault="007560EB">
      <w:pPr>
        <w:numPr>
          <w:ilvl w:val="0"/>
          <w:numId w:val="16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运维工程师</w:t>
      </w:r>
      <w:r w:rsidRPr="00CE78C5">
        <w:rPr>
          <w:rFonts w:ascii="文泉驿微米黑" w:eastAsia="文泉驿微米黑" w:hAnsi="文泉驿微米黑"/>
        </w:rPr>
        <w:br w:type="page"/>
      </w:r>
    </w:p>
    <w:p w14:paraId="1FD1A636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8" w:name="_Toc98332766"/>
      <w:r w:rsidRPr="00CE78C5">
        <w:rPr>
          <w:rFonts w:ascii="文泉驿微米黑" w:eastAsia="文泉驿微米黑" w:hAnsi="文泉驿微米黑" w:cs="Arial Unicode MS"/>
        </w:rPr>
        <w:lastRenderedPageBreak/>
        <w:t>数据库安全风险分析</w:t>
      </w:r>
      <w:bookmarkEnd w:id="8"/>
    </w:p>
    <w:p w14:paraId="48E233FE" w14:textId="77777777" w:rsidR="00B73BB6" w:rsidRPr="00CE78C5" w:rsidRDefault="007560EB">
      <w:p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在数字化、信息化时代，数据作为个人或公司的重要资产，数据的安全性变得越来越重要。因此对于数据库而言，其安全能力也是产品的核心价值所在。</w:t>
      </w:r>
    </w:p>
    <w:p w14:paraId="28F170F7" w14:textId="77777777" w:rsidR="00B73BB6" w:rsidRPr="00CE78C5" w:rsidRDefault="007560EB">
      <w:pPr>
        <w:spacing w:before="20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通过分析数据库所面临的安全风险，可以更深入理解数据库的安全能力，数据库安全能力面临的主要安全风险：</w:t>
      </w:r>
    </w:p>
    <w:p w14:paraId="51877777" w14:textId="77777777" w:rsidR="00B73BB6" w:rsidRPr="00CE78C5" w:rsidRDefault="007560EB">
      <w:pPr>
        <w:jc w:val="center"/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Helvetica Neue"/>
          <w:noProof/>
          <w:sz w:val="24"/>
          <w:szCs w:val="24"/>
        </w:rPr>
        <w:drawing>
          <wp:inline distT="114300" distB="114300" distL="114300" distR="114300" wp14:anchorId="435ACD40" wp14:editId="0D80E84B">
            <wp:extent cx="3427491" cy="3376838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7491" cy="33768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FEF1DC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访问控制机制：数据库不支持对账户访问的合理控制，如：不能支持 IP 白名单控制，不能支持账户密码的管理。</w:t>
      </w:r>
    </w:p>
    <w:p w14:paraId="539178C3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传输加密机制：数据库不支持对认证证书和传输加密的合理管理。如：不支持证书过期告警，不支持数据库客户端与服务端的传输进行加密。</w:t>
      </w:r>
    </w:p>
    <w:p w14:paraId="0ED2A3A4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权限管理机制：数据库不支持对账户进行合理的权限管理，如：不能满足账户权限最小化原则。</w:t>
      </w:r>
    </w:p>
    <w:p w14:paraId="41DC730A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存储加密机制：数据库不支持对静态数据进行加密，如：不支持对存储数据进行加密，不支持对备份数据进行加密。</w:t>
      </w:r>
    </w:p>
    <w:p w14:paraId="413623C5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敏感数据保护机制：数据库不支持对敏感数据进行合理保护，如：不支持对各类日志中对敏感数据进行脱敏处理。</w:t>
      </w:r>
    </w:p>
    <w:p w14:paraId="55070DF0" w14:textId="77777777" w:rsidR="00B73BB6" w:rsidRPr="00CE78C5" w:rsidRDefault="007560EB">
      <w:pPr>
        <w:numPr>
          <w:ilvl w:val="0"/>
          <w:numId w:val="15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审计管理机制：数据库缺乏完善的审计机制，如：存在审计遗漏场景和审计可被绕过场景。</w:t>
      </w:r>
      <w:r w:rsidRPr="00CE78C5">
        <w:rPr>
          <w:rFonts w:ascii="文泉驿微米黑" w:eastAsia="文泉驿微米黑" w:hAnsi="文泉驿微米黑"/>
        </w:rPr>
        <w:br w:type="page"/>
      </w:r>
    </w:p>
    <w:p w14:paraId="0AAE9412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9" w:name="_Toc98332767"/>
      <w:r w:rsidRPr="00CE78C5">
        <w:rPr>
          <w:rFonts w:ascii="文泉驿微米黑" w:eastAsia="文泉驿微米黑" w:hAnsi="文泉驿微米黑" w:cs="Arial Unicode MS"/>
        </w:rPr>
        <w:lastRenderedPageBreak/>
        <w:t>TiDB 安全功能介绍</w:t>
      </w:r>
      <w:bookmarkEnd w:id="9"/>
    </w:p>
    <w:p w14:paraId="66732EE2" w14:textId="77777777" w:rsidR="00B73BB6" w:rsidRPr="00CE78C5" w:rsidRDefault="007560EB">
      <w:p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基于数据库面临的各类安全风险，TiDB 通过多层立体的安全功能设计保证了产品的安全性和可靠性，TiDB 的安全功能主要包括：访问控制、传输加密、权限管理、存储加密、脱敏数据保护、审计管理等。</w:t>
      </w:r>
    </w:p>
    <w:p w14:paraId="6BDA84B7" w14:textId="77777777" w:rsidR="00B73BB6" w:rsidRPr="00CE78C5" w:rsidRDefault="007560EB">
      <w:p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Helvetica Neue"/>
          <w:noProof/>
          <w:sz w:val="24"/>
          <w:szCs w:val="24"/>
        </w:rPr>
        <w:drawing>
          <wp:inline distT="114300" distB="114300" distL="114300" distR="114300" wp14:anchorId="255C4922" wp14:editId="606E668E">
            <wp:extent cx="4491038" cy="4500716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1038" cy="45007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2260E9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  <w:sz w:val="34"/>
          <w:szCs w:val="34"/>
          <w:highlight w:val="white"/>
        </w:rPr>
      </w:pPr>
      <w:bookmarkStart w:id="10" w:name="_Toc98332768"/>
      <w:r w:rsidRPr="00CE78C5">
        <w:rPr>
          <w:rFonts w:ascii="文泉驿微米黑" w:eastAsia="文泉驿微米黑" w:hAnsi="文泉驿微米黑" w:cs="Arial Unicode MS"/>
        </w:rPr>
        <w:t>访问控制</w:t>
      </w:r>
      <w:bookmarkEnd w:id="10"/>
    </w:p>
    <w:p w14:paraId="76EC8B01" w14:textId="77777777" w:rsidR="00B73BB6" w:rsidRPr="00CE78C5" w:rsidRDefault="007560EB">
      <w:pPr>
        <w:numPr>
          <w:ilvl w:val="0"/>
          <w:numId w:val="5"/>
        </w:numPr>
        <w:spacing w:before="240" w:after="2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支持 IP 白名单控制</w:t>
      </w:r>
    </w:p>
    <w:p w14:paraId="6B9DA6B0" w14:textId="77777777" w:rsidR="00B73BB6" w:rsidRPr="00CE78C5" w:rsidRDefault="007560EB">
      <w:pPr>
        <w:spacing w:before="2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创建用户时，指定该用户可以从哪些 IP 登录到 TiDB Server，如下：</w:t>
      </w:r>
    </w:p>
    <w:p w14:paraId="1A109B8F" w14:textId="77777777" w:rsidR="00B73BB6" w:rsidRPr="00CE78C5" w:rsidRDefault="007560EB">
      <w:pPr>
        <w:numPr>
          <w:ilvl w:val="0"/>
          <w:numId w:val="7"/>
        </w:numPr>
        <w:ind w:left="1440"/>
        <w:rPr>
          <w:rFonts w:ascii="文泉驿微米黑" w:eastAsia="文泉驿微米黑" w:hAnsi="文泉驿微米黑" w:cs="Helvetica Neue"/>
          <w:sz w:val="28"/>
          <w:szCs w:val="28"/>
          <w:highlight w:val="whit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create user 'user1'@'%'; --允许所有 IP 的客户端登录；</w:t>
      </w:r>
    </w:p>
    <w:p w14:paraId="0A2C8CE7" w14:textId="77777777" w:rsidR="00B73BB6" w:rsidRPr="00CE78C5" w:rsidRDefault="007560EB">
      <w:pPr>
        <w:numPr>
          <w:ilvl w:val="0"/>
          <w:numId w:val="7"/>
        </w:numPr>
        <w:ind w:left="1440"/>
        <w:rPr>
          <w:rFonts w:ascii="文泉驿微米黑" w:eastAsia="文泉驿微米黑" w:hAnsi="文泉驿微米黑" w:cs="Helvetica Neue"/>
          <w:sz w:val="28"/>
          <w:szCs w:val="28"/>
          <w:highlight w:val="white"/>
          <w:lang w:val="en-US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  <w:lang w:val="en-US"/>
        </w:rPr>
        <w:t>create user 'user1'@'localhost';--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>仅允许本地客户端登录</w:t>
      </w:r>
      <w:r w:rsidRPr="00CE78C5">
        <w:rPr>
          <w:rFonts w:ascii="文泉驿微米黑" w:eastAsia="文泉驿微米黑" w:hAnsi="文泉驿微米黑" w:cs="Arial Unicode MS"/>
          <w:sz w:val="24"/>
          <w:szCs w:val="24"/>
          <w:lang w:val="en-US"/>
        </w:rPr>
        <w:t>；</w:t>
      </w:r>
    </w:p>
    <w:p w14:paraId="6A262620" w14:textId="77777777" w:rsidR="00B73BB6" w:rsidRPr="00CE78C5" w:rsidRDefault="007560EB">
      <w:pPr>
        <w:numPr>
          <w:ilvl w:val="0"/>
          <w:numId w:val="7"/>
        </w:numPr>
        <w:ind w:left="1440"/>
        <w:rPr>
          <w:rFonts w:ascii="文泉驿微米黑" w:eastAsia="文泉驿微米黑" w:hAnsi="文泉驿微米黑" w:cs="Helvetica Neue"/>
          <w:sz w:val="28"/>
          <w:szCs w:val="28"/>
          <w:highlight w:val="white"/>
          <w:lang w:val="en-US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  <w:lang w:val="en-US"/>
        </w:rPr>
        <w:t>create user 'user1'@'172.16.40.%';--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>允许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指定网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段的客户端登录。</w:t>
      </w:r>
    </w:p>
    <w:p w14:paraId="549179E8" w14:textId="77777777" w:rsidR="00B73BB6" w:rsidRPr="00CE78C5" w:rsidRDefault="007560EB">
      <w:pPr>
        <w:numPr>
          <w:ilvl w:val="0"/>
          <w:numId w:val="1"/>
        </w:numPr>
        <w:spacing w:before="20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支持账户/密码管理</w:t>
      </w:r>
    </w:p>
    <w:p w14:paraId="6BFEA2C7" w14:textId="77777777" w:rsidR="00B73BB6" w:rsidRPr="00CE78C5" w:rsidRDefault="007560EB">
      <w:pPr>
        <w:numPr>
          <w:ilvl w:val="0"/>
          <w:numId w:val="8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lastRenderedPageBreak/>
        <w:t xml:space="preserve">用户密码支持加密存储在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 xml:space="preserve">mysql.user 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>中；</w:t>
      </w:r>
    </w:p>
    <w:p w14:paraId="22B7A2E8" w14:textId="77777777" w:rsidR="00B73BB6" w:rsidRPr="00CE78C5" w:rsidRDefault="007560EB">
      <w:pPr>
        <w:numPr>
          <w:ilvl w:val="0"/>
          <w:numId w:val="8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支持用户通过校验“用户名+密码”登录到 TiDB；</w:t>
      </w:r>
    </w:p>
    <w:p w14:paraId="79F1666F" w14:textId="77777777" w:rsidR="00B73BB6" w:rsidRPr="00CE78C5" w:rsidRDefault="007560EB">
      <w:pPr>
        <w:numPr>
          <w:ilvl w:val="0"/>
          <w:numId w:val="8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支持用户通过校验证书登录到 TiDB（此时必须开启加密传输）。</w:t>
      </w:r>
    </w:p>
    <w:p w14:paraId="3CF3AD74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1" w:name="_Toc98332769"/>
      <w:r w:rsidRPr="00CE78C5">
        <w:rPr>
          <w:rFonts w:ascii="文泉驿微米黑" w:eastAsia="文泉驿微米黑" w:hAnsi="文泉驿微米黑" w:cs="Arial Unicode MS"/>
        </w:rPr>
        <w:t>传输加密</w:t>
      </w:r>
      <w:bookmarkEnd w:id="11"/>
    </w:p>
    <w:p w14:paraId="6B52222A" w14:textId="77777777" w:rsidR="00B73BB6" w:rsidRPr="00CE78C5" w:rsidRDefault="007560EB">
      <w:pPr>
        <w:numPr>
          <w:ilvl w:val="0"/>
          <w:numId w:val="6"/>
        </w:numPr>
        <w:spacing w:before="14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TLS 加密传输</w:t>
      </w:r>
    </w:p>
    <w:p w14:paraId="48F59C18" w14:textId="77777777" w:rsidR="00B73BB6" w:rsidRPr="00CE78C5" w:rsidRDefault="007560EB">
      <w:pPr>
        <w:numPr>
          <w:ilvl w:val="0"/>
          <w:numId w:val="3"/>
        </w:numPr>
        <w:spacing w:before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服务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端支持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启用基于 TLS 协议的加密连接，通过客户端与服务端加密传输，可以保证信息传输的保密性、完整性，同时基于证书的单向认证/双向认证可以保证通信双方身份的真实性；</w:t>
      </w:r>
    </w:p>
    <w:p w14:paraId="117221DC" w14:textId="77777777" w:rsidR="00B73BB6" w:rsidRPr="00CE78C5" w:rsidRDefault="007560EB">
      <w:pPr>
        <w:numPr>
          <w:ilvl w:val="0"/>
          <w:numId w:val="3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兼容 MySQL 客户端，现有 MySQL 客户端可直接于 TiDB 进行加密连接。TiDB 支持 TLS 1.2、TLS 1.3 版本协议，同时兼容 TLS 1.0、TLS 1.1（因为 TLS 1.0、TLS 1.1 已经不安全，不建议使用）；</w:t>
      </w:r>
    </w:p>
    <w:p w14:paraId="62899FEE" w14:textId="77777777" w:rsidR="00B73BB6" w:rsidRPr="00CE78C5" w:rsidRDefault="007560EB">
      <w:pPr>
        <w:numPr>
          <w:ilvl w:val="0"/>
          <w:numId w:val="3"/>
        </w:numPr>
        <w:spacing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集群内部组件之间支持加密传输，各组件间的加密传输支持校验调用方身份，以防止拥有有效证书的非法访问者进行访问（例如：TiKV 只能被 TiDB 访问，则需要阻止拥有合法证书但非 TiDB 的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其他访问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者访问到 TiKV ）。</w:t>
      </w:r>
    </w:p>
    <w:p w14:paraId="54C95157" w14:textId="77777777" w:rsidR="00B73BB6" w:rsidRPr="00CE78C5" w:rsidRDefault="007560EB">
      <w:pPr>
        <w:numPr>
          <w:ilvl w:val="0"/>
          <w:numId w:val="2"/>
        </w:numPr>
        <w:spacing w:before="20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证书管理</w:t>
      </w:r>
    </w:p>
    <w:p w14:paraId="4A425551" w14:textId="77777777" w:rsidR="00B73BB6" w:rsidRPr="00CE78C5" w:rsidRDefault="007560EB">
      <w:pPr>
        <w:spacing w:before="140" w:after="140"/>
        <w:ind w:left="450" w:firstLine="27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对于证书替换场景，支持重载证书、密钥，无需重启 TiDB 实例。</w:t>
      </w:r>
    </w:p>
    <w:p w14:paraId="6DCFCEAD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2" w:name="_Toc98332770"/>
      <w:r w:rsidRPr="00CE78C5">
        <w:rPr>
          <w:rFonts w:ascii="文泉驿微米黑" w:eastAsia="文泉驿微米黑" w:hAnsi="文泉驿微米黑" w:cs="Arial Unicode MS"/>
        </w:rPr>
        <w:t>权限管理</w:t>
      </w:r>
      <w:bookmarkEnd w:id="12"/>
    </w:p>
    <w:p w14:paraId="5838C346" w14:textId="77777777" w:rsidR="00B73BB6" w:rsidRPr="00CE78C5" w:rsidRDefault="007560EB">
      <w:pPr>
        <w:numPr>
          <w:ilvl w:val="0"/>
          <w:numId w:val="14"/>
        </w:numPr>
        <w:spacing w:before="140" w:after="20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对象权限</w:t>
      </w:r>
    </w:p>
    <w:p w14:paraId="14A83B29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的权限管理系统是按照 MySQL 的权限管理进行实现，TiDB 支持大部分的 MySQL 的语法和权限类型。通过 GRANT/REVOKE 进行权限的授予/收回操作，例如：</w:t>
      </w:r>
    </w:p>
    <w:p w14:paraId="14F2487F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授予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xxx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用户对数据库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test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的读权限：</w:t>
      </w:r>
    </w:p>
    <w:p w14:paraId="2DD3F73F" w14:textId="77777777" w:rsidR="00B73BB6" w:rsidRPr="00CE78C5" w:rsidRDefault="007560EB">
      <w:pPr>
        <w:spacing w:line="348" w:lineRule="auto"/>
        <w:ind w:left="720" w:firstLine="720"/>
        <w:rPr>
          <w:rFonts w:ascii="文泉驿微米黑" w:eastAsia="文泉驿微米黑" w:hAnsi="文泉驿微米黑" w:cs="Helvetica Neue"/>
          <w:sz w:val="24"/>
          <w:szCs w:val="24"/>
          <w:lang w:val="en-US"/>
        </w:rPr>
      </w:pPr>
      <w:r w:rsidRPr="00CE78C5">
        <w:rPr>
          <w:rFonts w:ascii="文泉驿微米黑" w:eastAsia="文泉驿微米黑" w:hAnsi="文泉驿微米黑" w:cs="Helvetica Neue"/>
          <w:sz w:val="24"/>
          <w:szCs w:val="24"/>
          <w:lang w:val="en-US"/>
        </w:rPr>
        <w:t>GRANT SELECT ON test.* TO 'xxx'@'%';</w:t>
      </w:r>
    </w:p>
    <w:p w14:paraId="37C0EDD3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收回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xxx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用户对数据库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test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的读权限：</w:t>
      </w:r>
    </w:p>
    <w:p w14:paraId="7F708B7E" w14:textId="77777777" w:rsidR="00B73BB6" w:rsidRPr="00CE78C5" w:rsidRDefault="007560EB">
      <w:pPr>
        <w:spacing w:line="348" w:lineRule="auto"/>
        <w:ind w:left="720" w:firstLine="720"/>
        <w:rPr>
          <w:rFonts w:ascii="文泉驿微米黑" w:eastAsia="文泉驿微米黑" w:hAnsi="文泉驿微米黑" w:cs="Helvetica Neue"/>
          <w:sz w:val="24"/>
          <w:szCs w:val="24"/>
          <w:lang w:val="en-US"/>
        </w:rPr>
      </w:pPr>
      <w:r w:rsidRPr="00CE78C5">
        <w:rPr>
          <w:rFonts w:ascii="文泉驿微米黑" w:eastAsia="文泉驿微米黑" w:hAnsi="文泉驿微米黑" w:cs="Helvetica Neue"/>
          <w:sz w:val="24"/>
          <w:szCs w:val="24"/>
          <w:lang w:val="en-US"/>
        </w:rPr>
        <w:t>REVOKE SELECT ON `test`.* FROM 'xxx'@'%';</w:t>
      </w:r>
    </w:p>
    <w:p w14:paraId="1BA46ACB" w14:textId="77777777" w:rsidR="00B73BB6" w:rsidRPr="00CE78C5" w:rsidRDefault="007560EB">
      <w:pPr>
        <w:numPr>
          <w:ilvl w:val="0"/>
          <w:numId w:val="14"/>
        </w:numPr>
        <w:spacing w:before="20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动态权限</w:t>
      </w:r>
    </w:p>
    <w:p w14:paraId="0DA1B7B4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lastRenderedPageBreak/>
        <w:t xml:space="preserve">从 TiDB v5.1 开始，TiDB 支持 MySQL 8.0 中的动态权限特性。动态权限用于限制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SUPER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权限，实现对某些操作更细粒度的访问。例如，系统管理员可以使用动态权限来创建一个只能执行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BACKUP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和 </w:t>
      </w:r>
      <w:r w:rsidRPr="00CE78C5">
        <w:rPr>
          <w:rFonts w:ascii="文泉驿微米黑" w:eastAsia="文泉驿微米黑" w:hAnsi="文泉驿微米黑" w:cs="Helvetica Neue"/>
          <w:sz w:val="24"/>
          <w:szCs w:val="24"/>
        </w:rPr>
        <w:t>RESTORE</w:t>
      </w:r>
      <w:r w:rsidRPr="00CE78C5">
        <w:rPr>
          <w:rFonts w:ascii="文泉驿微米黑" w:eastAsia="文泉驿微米黑" w:hAnsi="文泉驿微米黑" w:cs="Arial Unicode MS"/>
          <w:sz w:val="24"/>
          <w:szCs w:val="24"/>
        </w:rPr>
        <w:t xml:space="preserve"> 操作的用户账户。</w:t>
      </w:r>
    </w:p>
    <w:p w14:paraId="10113296" w14:textId="77777777" w:rsidR="00B73BB6" w:rsidRPr="00CE78C5" w:rsidRDefault="007560EB">
      <w:pPr>
        <w:numPr>
          <w:ilvl w:val="0"/>
          <w:numId w:val="17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角色访问控制</w:t>
      </w:r>
    </w:p>
    <w:p w14:paraId="7ECE4ED3" w14:textId="77777777" w:rsidR="00B73BB6" w:rsidRPr="00CE78C5" w:rsidRDefault="007560EB">
      <w:pPr>
        <w:spacing w:after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使用基于角色的访问控制（Role-Based Access Control），其实现与MySQL 8.0 的 RBAC 系统相类似。RBAC 可以实现批量授权，可以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灵活维护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用户的权限，使得其可以精细化地保障数据访问安全，实现账号、操作、表级别的精细化授权控制。</w:t>
      </w:r>
    </w:p>
    <w:p w14:paraId="4BB2E68B" w14:textId="77777777" w:rsidR="00B73BB6" w:rsidRPr="00CE78C5" w:rsidRDefault="007560EB">
      <w:pPr>
        <w:spacing w:after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兼容大部分 MySQL RBAC 系统的语法。用户可以创建角色、删除角色、将权限赋予角色；也可以将角色授予给其他用户，被授予的用户在启用角色后，可以得到角色所包含的权限。</w:t>
      </w:r>
    </w:p>
    <w:p w14:paraId="29433FEF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为角色授予权限和为用户授予权限操作相同，可参考 TiDB 权限管理，例如：为 app_read 角色授予数据库 app_db 的读权限：</w:t>
      </w:r>
    </w:p>
    <w:p w14:paraId="13F87AB6" w14:textId="77777777" w:rsidR="00B73BB6" w:rsidRPr="00CE78C5" w:rsidRDefault="007560EB">
      <w:pPr>
        <w:spacing w:before="200"/>
        <w:ind w:left="720" w:firstLine="720"/>
        <w:rPr>
          <w:rFonts w:ascii="文泉驿微米黑" w:eastAsia="文泉驿微米黑" w:hAnsi="文泉驿微米黑" w:cs="Helvetica Neue"/>
          <w:sz w:val="24"/>
          <w:szCs w:val="24"/>
          <w:lang w:val="en-US"/>
        </w:rPr>
      </w:pPr>
      <w:r w:rsidRPr="00CE78C5">
        <w:rPr>
          <w:rFonts w:ascii="文泉驿微米黑" w:eastAsia="文泉驿微米黑" w:hAnsi="文泉驿微米黑" w:cs="Helvetica Neue"/>
          <w:sz w:val="24"/>
          <w:szCs w:val="24"/>
          <w:lang w:val="en-US"/>
        </w:rPr>
        <w:t>GRANT SELECT ON app_db.* TO 'app_read'@'%';</w:t>
      </w:r>
    </w:p>
    <w:p w14:paraId="3E884526" w14:textId="77777777" w:rsidR="00B73BB6" w:rsidRPr="00CE78C5" w:rsidRDefault="007560EB">
      <w:pPr>
        <w:numPr>
          <w:ilvl w:val="0"/>
          <w:numId w:val="12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证书鉴权</w:t>
      </w:r>
    </w:p>
    <w:p w14:paraId="0CD1A304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支持基于证书鉴权的登录方式。采用这种方式，TiDB 对不同用户签发证书，使用加密连接来传输数据，并在用户登录时验证证书。相比 MySQL 用户常用的用户名密码验证方式，与 MySQL 相兼容的证书鉴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权方式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更安全。</w:t>
      </w:r>
    </w:p>
    <w:p w14:paraId="61678C9E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3" w:name="_Toc98332771"/>
      <w:r w:rsidRPr="00CE78C5">
        <w:rPr>
          <w:rFonts w:ascii="文泉驿微米黑" w:eastAsia="文泉驿微米黑" w:hAnsi="文泉驿微米黑" w:cs="Arial Unicode MS"/>
        </w:rPr>
        <w:t>存储加密</w:t>
      </w:r>
      <w:bookmarkEnd w:id="13"/>
    </w:p>
    <w:p w14:paraId="5C8A8421" w14:textId="77777777" w:rsidR="00B73BB6" w:rsidRPr="00CE78C5" w:rsidRDefault="007560EB">
      <w:pPr>
        <w:numPr>
          <w:ilvl w:val="0"/>
          <w:numId w:val="13"/>
        </w:numPr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静态加密</w:t>
      </w:r>
    </w:p>
    <w:p w14:paraId="48FBD40F" w14:textId="77777777" w:rsidR="00B73BB6" w:rsidRPr="00CE78C5" w:rsidRDefault="007560EB">
      <w:pPr>
        <w:spacing w:before="140" w:after="1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静态加密 (Encryption at Rest) 即在存储数据时进行数据加密。对于数据库，静态加密功能也叫透明数据加密 (TDE)。静态加密功能是在存储数据前就对数据进行加密处理，用户必须通过数据库的身份和权限验证才能访问静态加密后的数据。即使有攻击者获得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物理机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的访问权限，也无法通过复制磁盘上的文件来访问这些数据。</w:t>
      </w:r>
    </w:p>
    <w:p w14:paraId="000316C6" w14:textId="77777777" w:rsidR="00B73BB6" w:rsidRPr="00CE78C5" w:rsidRDefault="007560EB">
      <w:pPr>
        <w:spacing w:before="140" w:after="1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静态加密功能主要包括 TiKV 静态加密和 TiFlash 静态加密，同时对于 TiDB 落盘的临时文件也支持对其进行加密存储。</w:t>
      </w:r>
    </w:p>
    <w:p w14:paraId="118D5CCF" w14:textId="77777777" w:rsidR="00B73BB6" w:rsidRPr="00CE78C5" w:rsidRDefault="007560EB">
      <w:pPr>
        <w:numPr>
          <w:ilvl w:val="0"/>
          <w:numId w:val="9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lastRenderedPageBreak/>
        <w:t>TiKV 静态加密</w:t>
      </w:r>
    </w:p>
    <w:p w14:paraId="772E317C" w14:textId="77777777" w:rsidR="00B73BB6" w:rsidRPr="00CE78C5" w:rsidRDefault="007560EB">
      <w:pPr>
        <w:spacing w:before="140" w:after="1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TiKV 从 v4.0.0 起支持静态加密，即在 CTR 模式下使用 AES 对数据文件进行透明加密。要启用静态加密，用户须提供一个加密密钥，即主密钥。可以通过 AWS Key Management Service (KMS) 提供主密钥 (Master Key)，也可以指定将密钥以明文形式存储在文件中，推荐使用KMS提供主密钥。</w:t>
      </w:r>
    </w:p>
    <w:p w14:paraId="422D6A3B" w14:textId="77777777" w:rsidR="00B73BB6" w:rsidRPr="00CE78C5" w:rsidRDefault="007560EB">
      <w:pPr>
        <w:spacing w:before="140" w:after="1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TiKV 支持自动轮换 (Rotate) 用于加密实际数据文件的密钥，主密钥则可以由用户手动轮换。请注意，静态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加密仅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加密静态数据（即磁盘上的数据），而不加密网络传输中的数据。</w:t>
      </w:r>
    </w:p>
    <w:p w14:paraId="6351252F" w14:textId="77777777" w:rsidR="00B73BB6" w:rsidRPr="00CE78C5" w:rsidRDefault="007560EB">
      <w:pPr>
        <w:numPr>
          <w:ilvl w:val="0"/>
          <w:numId w:val="9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TiFlash 静态加密</w:t>
      </w:r>
    </w:p>
    <w:p w14:paraId="3B0C6E6A" w14:textId="77777777" w:rsidR="00B73BB6" w:rsidRPr="00CE78C5" w:rsidRDefault="007560EB">
      <w:pPr>
        <w:pBdr>
          <w:top w:val="nil"/>
          <w:left w:val="nil"/>
          <w:bottom w:val="nil"/>
          <w:right w:val="nil"/>
          <w:between w:val="nil"/>
        </w:pBdr>
        <w:spacing w:before="140" w:after="1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TiFlash 从 v4.0.5 起支持静态加密。数据密钥由 TiFlash 生成。TiFlash（包括 TiFlash Proxy）写入的所有文件，包括数据文件、Schema 文件、临时文件等，均由当前数据密钥加密。TiFlash 支持的加密算法、加密配置方法和监控项含义等均与 TiKV 一致。</w:t>
      </w:r>
    </w:p>
    <w:p w14:paraId="66F4B963" w14:textId="77777777" w:rsidR="00B73BB6" w:rsidRPr="00CE78C5" w:rsidRDefault="007560EB">
      <w:pPr>
        <w:numPr>
          <w:ilvl w:val="0"/>
          <w:numId w:val="9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落盘临时文件加密</w:t>
      </w:r>
    </w:p>
    <w:p w14:paraId="557905D9" w14:textId="77777777" w:rsidR="00B73BB6" w:rsidRPr="00CE78C5" w:rsidRDefault="007560EB">
      <w:pPr>
        <w:shd w:val="clear" w:color="auto" w:fill="FFFFFF"/>
        <w:spacing w:after="240"/>
        <w:ind w:left="14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当配置项 oom-use-tmp-storage 为 true 时，如果单条 SQL 语句的内存使用超出 mem-quota-query 的限制，某些算子可以将执行时的中间结果作为临时文件落盘保存，直到查询执行完成之后将它们删除。对于这类落盘的临时文件，支持用户开启加密功能，以防止攻击者通过读取临时文件来访问数据。</w:t>
      </w:r>
    </w:p>
    <w:p w14:paraId="1EE22B7A" w14:textId="77777777" w:rsidR="00B73BB6" w:rsidRPr="00CE78C5" w:rsidRDefault="007560EB">
      <w:pPr>
        <w:numPr>
          <w:ilvl w:val="0"/>
          <w:numId w:val="11"/>
        </w:num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备份加密</w:t>
      </w:r>
    </w:p>
    <w:p w14:paraId="65AAB266" w14:textId="77777777" w:rsidR="00B73BB6" w:rsidRPr="00CE78C5" w:rsidRDefault="007560EB">
      <w:pPr>
        <w:spacing w:before="140" w:after="14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从 v4.0.0 起，Backup &amp; Restore (BR) 支持对备份到 S3 的数据进行 S3 服务端加密 (SSE)。BR S3 服务端加密也支持使用用户自行创建的 AWS KMS 密钥进行加密。</w:t>
      </w:r>
    </w:p>
    <w:p w14:paraId="608ACD0B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4" w:name="_Toc98332772"/>
      <w:r w:rsidRPr="00CE78C5">
        <w:rPr>
          <w:rFonts w:ascii="文泉驿微米黑" w:eastAsia="文泉驿微米黑" w:hAnsi="文泉驿微米黑" w:cs="Arial Unicode MS"/>
        </w:rPr>
        <w:t>日志脱敏数据保护</w:t>
      </w:r>
      <w:bookmarkEnd w:id="14"/>
    </w:p>
    <w:p w14:paraId="47E8FE9B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在提供详细的日志信息时，可能会把数据库敏感的数据（例如用户数据）打印出来，造成数据安全方面的风险。因此 TiDB、TiKV、TiFlash、PD 等组件各提供了一个配置项开关，开关打开后，会隐藏日志中包含的用户数据值。</w:t>
      </w:r>
    </w:p>
    <w:p w14:paraId="507C5175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5" w:name="_Toc98332773"/>
      <w:r w:rsidRPr="00CE78C5">
        <w:rPr>
          <w:rFonts w:ascii="文泉驿微米黑" w:eastAsia="文泉驿微米黑" w:hAnsi="文泉驿微米黑" w:cs="Arial Unicode MS"/>
        </w:rPr>
        <w:lastRenderedPageBreak/>
        <w:t>审计管理</w:t>
      </w:r>
      <w:bookmarkEnd w:id="15"/>
    </w:p>
    <w:p w14:paraId="4C4DC47A" w14:textId="77777777" w:rsidR="00B73BB6" w:rsidRPr="00CE78C5" w:rsidRDefault="007560EB">
      <w:pPr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提供 SQL 审计插件，满足合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规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审计的要求，也便于安全、运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维人员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查看 SQL 明细功能，及时发现问题。</w:t>
      </w:r>
    </w:p>
    <w:p w14:paraId="5E776764" w14:textId="77777777" w:rsidR="00B73BB6" w:rsidRPr="00CE78C5" w:rsidRDefault="007560EB">
      <w:pPr>
        <w:spacing w:before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TiDB支持的审计事件类型有:</w:t>
      </w:r>
    </w:p>
    <w:p w14:paraId="25C656D3" w14:textId="77777777" w:rsidR="00B73BB6" w:rsidRPr="00CE78C5" w:rsidRDefault="00B73BB6">
      <w:pPr>
        <w:spacing w:before="200"/>
        <w:ind w:left="720"/>
        <w:rPr>
          <w:rFonts w:ascii="文泉驿微米黑" w:eastAsia="文泉驿微米黑" w:hAnsi="文泉驿微米黑" w:cs="Helvetica Neue"/>
          <w:sz w:val="24"/>
          <w:szCs w:val="24"/>
        </w:rPr>
      </w:pPr>
    </w:p>
    <w:tbl>
      <w:tblPr>
        <w:tblStyle w:val="a5"/>
        <w:tblW w:w="8715" w:type="dxa"/>
        <w:tblInd w:w="5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1635"/>
        <w:gridCol w:w="2625"/>
        <w:gridCol w:w="2295"/>
      </w:tblGrid>
      <w:tr w:rsidR="00B73BB6" w:rsidRPr="00CE78C5" w14:paraId="5F6D65C6" w14:textId="77777777">
        <w:trPr>
          <w:trHeight w:val="255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FD9AEB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Event Class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2D0109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SubEvent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98DA40A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开关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DAF171" w14:textId="77777777" w:rsidR="00B73BB6" w:rsidRPr="00CE78C5" w:rsidRDefault="007560EB">
            <w:pPr>
              <w:jc w:val="center"/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备注</w:t>
            </w:r>
          </w:p>
        </w:tc>
      </w:tr>
      <w:tr w:rsidR="00B73BB6" w:rsidRPr="00CE78C5" w14:paraId="78A9C26A" w14:textId="77777777">
        <w:trPr>
          <w:trHeight w:val="1215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E6422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CONNECTION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84E194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Connected</w:t>
            </w:r>
          </w:p>
          <w:p w14:paraId="42CEDDEF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Disconnect</w:t>
            </w:r>
          </w:p>
          <w:p w14:paraId="1524EB46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ChangeUser</w:t>
            </w:r>
          </w:p>
          <w:p w14:paraId="4462A0EA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PreAuth</w:t>
            </w:r>
          </w:p>
          <w:p w14:paraId="16C40B9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Reject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FDB735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默认开启</w:t>
            </w:r>
          </w:p>
          <w:p w14:paraId="156A692A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只能通过禁用插件关闭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511BF1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连接事件和</w:t>
            </w:r>
            <w:proofErr w:type="gramStart"/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鉴权</w:t>
            </w:r>
            <w:proofErr w:type="gramEnd"/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事件</w:t>
            </w:r>
          </w:p>
        </w:tc>
      </w:tr>
      <w:tr w:rsidR="00B73BB6" w:rsidRPr="00CE78C5" w14:paraId="0A96FE26" w14:textId="77777777">
        <w:trPr>
          <w:trHeight w:val="2190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39462DB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TABLE_ACCESS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A13943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Insert</w:t>
            </w:r>
          </w:p>
          <w:p w14:paraId="5A1E80AD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Select</w:t>
            </w:r>
          </w:p>
          <w:p w14:paraId="5F3B55AC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Update</w:t>
            </w:r>
          </w:p>
          <w:p w14:paraId="025285C0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Replace</w:t>
            </w:r>
          </w:p>
          <w:p w14:paraId="32E1B732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Delete</w:t>
            </w:r>
          </w:p>
          <w:p w14:paraId="183DC59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  <w:lang w:val="en-US"/>
              </w:rPr>
              <w:t>LoadData</w:t>
            </w:r>
          </w:p>
          <w:p w14:paraId="14D22D31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Alter</w:t>
            </w:r>
          </w:p>
          <w:p w14:paraId="5E1C6387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DropTable</w:t>
            </w:r>
          </w:p>
          <w:p w14:paraId="02230AC3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CreateTable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6090B7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默认关闭</w:t>
            </w:r>
          </w:p>
          <w:p w14:paraId="349C86F6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需要通过修改配置表指定 db - user - table - 事件 来开启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F26AF9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带 Table 的 SQL</w:t>
            </w:r>
          </w:p>
          <w:p w14:paraId="35FEC9F8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会对 SQL 中的参数脱敏处理替换为 “?“</w:t>
            </w:r>
          </w:p>
        </w:tc>
      </w:tr>
      <w:tr w:rsidR="00B73BB6" w:rsidRPr="00CE78C5" w14:paraId="48540158" w14:textId="77777777">
        <w:trPr>
          <w:trHeight w:val="495"/>
        </w:trPr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DA09D1E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GENERAL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5B87345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Helvetica Neue"/>
                <w:sz w:val="24"/>
                <w:szCs w:val="24"/>
              </w:rPr>
              <w:t>-</w:t>
            </w:r>
          </w:p>
        </w:tc>
        <w:tc>
          <w:tcPr>
            <w:tcW w:w="26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2B0312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默认开启</w:t>
            </w:r>
          </w:p>
          <w:p w14:paraId="4D219DAF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只能通过禁用插件关闭</w:t>
            </w:r>
          </w:p>
        </w:tc>
        <w:tc>
          <w:tcPr>
            <w:tcW w:w="22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DAB1BBE" w14:textId="77777777" w:rsidR="00B73BB6" w:rsidRPr="00CE78C5" w:rsidRDefault="007560EB">
            <w:pPr>
              <w:rPr>
                <w:rFonts w:ascii="文泉驿微米黑" w:eastAsia="文泉驿微米黑" w:hAnsi="文泉驿微米黑" w:cs="Helvetica Neue"/>
                <w:sz w:val="24"/>
                <w:szCs w:val="24"/>
              </w:rPr>
            </w:pPr>
            <w:r w:rsidRPr="00CE78C5">
              <w:rPr>
                <w:rFonts w:ascii="文泉驿微米黑" w:eastAsia="文泉驿微米黑" w:hAnsi="文泉驿微米黑" w:cs="Arial Unicode MS"/>
                <w:sz w:val="24"/>
                <w:szCs w:val="24"/>
              </w:rPr>
              <w:t>没有 Table 访问的其他 SQL</w:t>
            </w:r>
          </w:p>
        </w:tc>
      </w:tr>
    </w:tbl>
    <w:p w14:paraId="59C46515" w14:textId="77777777" w:rsidR="00B73BB6" w:rsidRPr="00CE78C5" w:rsidRDefault="007560EB">
      <w:pPr>
        <w:spacing w:before="140" w:after="140"/>
        <w:ind w:left="360"/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/>
        </w:rPr>
        <w:br w:type="page"/>
      </w:r>
    </w:p>
    <w:p w14:paraId="5E66C7D8" w14:textId="77777777" w:rsidR="00B73BB6" w:rsidRPr="00CE78C5" w:rsidRDefault="007560EB">
      <w:pPr>
        <w:pStyle w:val="1"/>
        <w:rPr>
          <w:rFonts w:ascii="文泉驿微米黑" w:eastAsia="文泉驿微米黑" w:hAnsi="文泉驿微米黑" w:cs="Helvetica Neue"/>
        </w:rPr>
      </w:pPr>
      <w:bookmarkStart w:id="16" w:name="_Toc98332774"/>
      <w:r w:rsidRPr="00CE78C5">
        <w:rPr>
          <w:rFonts w:ascii="文泉驿微米黑" w:eastAsia="文泉驿微米黑" w:hAnsi="文泉驿微米黑" w:cs="Arial Unicode MS"/>
        </w:rPr>
        <w:lastRenderedPageBreak/>
        <w:t>软件升级及漏洞管理</w:t>
      </w:r>
      <w:bookmarkEnd w:id="16"/>
    </w:p>
    <w:p w14:paraId="280D94EB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7" w:name="_Toc98332775"/>
      <w:r w:rsidRPr="00CE78C5">
        <w:rPr>
          <w:rFonts w:ascii="文泉驿微米黑" w:eastAsia="文泉驿微米黑" w:hAnsi="文泉驿微米黑" w:cs="Arial Unicode MS"/>
        </w:rPr>
        <w:t>软件升级</w:t>
      </w:r>
      <w:bookmarkEnd w:id="17"/>
    </w:p>
    <w:p w14:paraId="2C16C0FB" w14:textId="77777777" w:rsidR="00B73BB6" w:rsidRPr="00CE78C5" w:rsidRDefault="007560EB">
      <w:pPr>
        <w:numPr>
          <w:ilvl w:val="0"/>
          <w:numId w:val="4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TiDB 将定期提供产品的新版本软件；</w:t>
      </w:r>
    </w:p>
    <w:p w14:paraId="7FF62D34" w14:textId="77777777" w:rsidR="00B73BB6" w:rsidRPr="00CE78C5" w:rsidRDefault="007560EB">
      <w:pPr>
        <w:numPr>
          <w:ilvl w:val="0"/>
          <w:numId w:val="4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版本升级采用自愿原则，由客户自行决定是否升级；</w:t>
      </w:r>
    </w:p>
    <w:p w14:paraId="223123CC" w14:textId="77777777" w:rsidR="00B73BB6" w:rsidRPr="00CE78C5" w:rsidRDefault="007560EB">
      <w:pPr>
        <w:numPr>
          <w:ilvl w:val="0"/>
          <w:numId w:val="4"/>
        </w:numPr>
        <w:rPr>
          <w:rFonts w:ascii="文泉驿微米黑" w:eastAsia="文泉驿微米黑" w:hAnsi="文泉驿微米黑" w:cs="Helvetica Neue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若某个版本存在重大的安全风险，TiDB 将会发布预警提示，并通知用户尽快升级至安全可靠版本。</w:t>
      </w:r>
    </w:p>
    <w:p w14:paraId="5236FEFB" w14:textId="77777777" w:rsidR="00B73BB6" w:rsidRPr="00CE78C5" w:rsidRDefault="007560EB">
      <w:pPr>
        <w:pStyle w:val="2"/>
        <w:rPr>
          <w:rFonts w:ascii="文泉驿微米黑" w:eastAsia="文泉驿微米黑" w:hAnsi="文泉驿微米黑" w:cs="Helvetica Neue"/>
        </w:rPr>
      </w:pPr>
      <w:bookmarkStart w:id="18" w:name="_Toc98332776"/>
      <w:r w:rsidRPr="00CE78C5">
        <w:rPr>
          <w:rFonts w:ascii="文泉驿微米黑" w:eastAsia="文泉驿微米黑" w:hAnsi="文泉驿微米黑" w:cs="Arial Unicode MS"/>
        </w:rPr>
        <w:t>漏洞管理</w:t>
      </w:r>
      <w:bookmarkEnd w:id="18"/>
    </w:p>
    <w:p w14:paraId="22E0D407" w14:textId="77777777" w:rsidR="00B73BB6" w:rsidRPr="00CE78C5" w:rsidRDefault="007560EB" w:rsidP="00CE78C5">
      <w:pPr>
        <w:spacing w:before="140" w:after="140"/>
        <w:rPr>
          <w:rFonts w:ascii="文泉驿微米黑" w:eastAsia="文泉驿微米黑" w:hAnsi="文泉驿微米黑"/>
          <w:color w:val="000000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根据相关法规要求，TiDB 提供了漏洞披露渠道，及时向用户披露产品的漏洞信息。</w:t>
      </w:r>
    </w:p>
    <w:p w14:paraId="2632D926" w14:textId="77777777" w:rsidR="00B73BB6" w:rsidRPr="00CE78C5" w:rsidRDefault="007560EB">
      <w:p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欢迎反馈 TiDB 相关的威胁情报和安全建议，提交 TiDB 产品的未知漏洞，请发邮件到 security@tidb.io 。详情请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参考官网公布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的漏洞响应机制。</w:t>
      </w:r>
    </w:p>
    <w:p w14:paraId="07C16106" w14:textId="77777777" w:rsidR="00B73BB6" w:rsidRPr="00CE78C5" w:rsidRDefault="007560EB">
      <w:pPr>
        <w:spacing w:before="140" w:after="140"/>
        <w:rPr>
          <w:rFonts w:ascii="文泉驿微米黑" w:eastAsia="文泉驿微米黑" w:hAnsi="文泉驿微米黑" w:cs="Helvetica Neue"/>
          <w:sz w:val="24"/>
          <w:szCs w:val="24"/>
        </w:rPr>
      </w:pPr>
      <w:r w:rsidRPr="00CE78C5">
        <w:rPr>
          <w:rFonts w:ascii="文泉驿微米黑" w:eastAsia="文泉驿微米黑" w:hAnsi="文泉驿微米黑" w:cs="Arial Unicode MS"/>
          <w:sz w:val="24"/>
          <w:szCs w:val="24"/>
        </w:rPr>
        <w:t>如果你对 TiDB 产品有任何安全相关的疑问或建议，欢迎在 AskTUG 社区的安全板块发</w:t>
      </w:r>
      <w:proofErr w:type="gramStart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帖进行</w:t>
      </w:r>
      <w:proofErr w:type="gramEnd"/>
      <w:r w:rsidRPr="00CE78C5">
        <w:rPr>
          <w:rFonts w:ascii="文泉驿微米黑" w:eastAsia="文泉驿微米黑" w:hAnsi="文泉驿微米黑" w:cs="Arial Unicode MS"/>
          <w:sz w:val="24"/>
          <w:szCs w:val="24"/>
        </w:rPr>
        <w:t>反馈，TiDB 团队期待与你有更频繁的直接交流。</w:t>
      </w:r>
    </w:p>
    <w:p w14:paraId="20B3CAF8" w14:textId="77777777" w:rsidR="00B73BB6" w:rsidRPr="00CE78C5" w:rsidRDefault="00B73BB6">
      <w:pPr>
        <w:rPr>
          <w:rFonts w:ascii="文泉驿微米黑" w:eastAsia="文泉驿微米黑" w:hAnsi="文泉驿微米黑" w:cs="Helvetica Neue"/>
          <w:highlight w:val="yellow"/>
        </w:rPr>
      </w:pPr>
    </w:p>
    <w:sectPr w:rsidR="00B73BB6" w:rsidRPr="00CE78C5">
      <w:headerReference w:type="default" r:id="rId10"/>
      <w:footerReference w:type="default" r:id="rId11"/>
      <w:headerReference w:type="firs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1C9FA" w14:textId="77777777" w:rsidR="00422EDC" w:rsidRDefault="00422EDC">
      <w:pPr>
        <w:spacing w:line="240" w:lineRule="auto"/>
      </w:pPr>
      <w:r>
        <w:separator/>
      </w:r>
    </w:p>
  </w:endnote>
  <w:endnote w:type="continuationSeparator" w:id="0">
    <w:p w14:paraId="5F657E61" w14:textId="77777777" w:rsidR="00422EDC" w:rsidRDefault="00422E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文泉驿微米黑">
    <w:panose1 w:val="020B0606030804020204"/>
    <w:charset w:val="86"/>
    <w:family w:val="swiss"/>
    <w:pitch w:val="variable"/>
    <w:sig w:usb0="E10002EF" w:usb1="6BDFFCFB" w:usb2="00800036" w:usb3="00000000" w:csb0="003E019F" w:csb1="00000000"/>
  </w:font>
  <w:font w:name="Helvetica Neue">
    <w:altName w:val="Arial"/>
    <w:charset w:val="00"/>
    <w:family w:val="auto"/>
    <w:pitch w:val="default"/>
  </w:font>
  <w:font w:name="Arial Unicode MS">
    <w:altName w:val="Arial"/>
    <w:panose1 w:val="020B0604020202020204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71E3" w14:textId="77777777" w:rsidR="00B73BB6" w:rsidRPr="00EF56FA" w:rsidRDefault="007560EB">
    <w:pPr>
      <w:widowControl w:val="0"/>
      <w:spacing w:line="240" w:lineRule="auto"/>
      <w:jc w:val="both"/>
      <w:rPr>
        <w:rFonts w:ascii="文泉驿微米黑" w:eastAsia="文泉驿微米黑" w:hAnsi="文泉驿微米黑" w:cs="仿宋"/>
        <w:sz w:val="16"/>
        <w:szCs w:val="16"/>
      </w:rPr>
    </w:pPr>
    <w:r w:rsidRPr="00EF56FA">
      <w:rPr>
        <w:rFonts w:ascii="文泉驿微米黑" w:eastAsia="文泉驿微米黑" w:hAnsi="文泉驿微米黑" w:cs="仿宋"/>
        <w:sz w:val="16"/>
        <w:szCs w:val="16"/>
      </w:rPr>
      <w:t>© 2022 PingCAP 公司保留所有权利。除非版权法允许，否则在未得到本公司事先给出的书面许可情况下，严禁复制、改编或翻译本文。</w:t>
    </w:r>
  </w:p>
  <w:p w14:paraId="7A2B0274" w14:textId="77777777" w:rsidR="00B73BB6" w:rsidRDefault="007560EB">
    <w:pPr>
      <w:widowControl w:val="0"/>
      <w:spacing w:line="240" w:lineRule="auto"/>
      <w:jc w:val="center"/>
      <w:rPr>
        <w:rFonts w:ascii="仿宋" w:eastAsia="仿宋" w:hAnsi="仿宋" w:cs="仿宋"/>
        <w:sz w:val="16"/>
        <w:szCs w:val="16"/>
      </w:rPr>
    </w:pPr>
    <w:r>
      <w:rPr>
        <w:rFonts w:ascii="仿宋" w:eastAsia="仿宋" w:hAnsi="仿宋" w:cs="仿宋"/>
        <w:sz w:val="16"/>
        <w:szCs w:val="16"/>
      </w:rPr>
      <w:fldChar w:fldCharType="begin"/>
    </w:r>
    <w:r>
      <w:rPr>
        <w:rFonts w:ascii="仿宋" w:eastAsia="仿宋" w:hAnsi="仿宋" w:cs="仿宋"/>
        <w:sz w:val="16"/>
        <w:szCs w:val="16"/>
      </w:rPr>
      <w:instrText>PAGE</w:instrText>
    </w:r>
    <w:r>
      <w:rPr>
        <w:rFonts w:ascii="仿宋" w:eastAsia="仿宋" w:hAnsi="仿宋" w:cs="仿宋"/>
        <w:sz w:val="16"/>
        <w:szCs w:val="16"/>
      </w:rPr>
      <w:fldChar w:fldCharType="separate"/>
    </w:r>
    <w:r w:rsidR="00CE78C5">
      <w:rPr>
        <w:rFonts w:ascii="仿宋" w:eastAsia="仿宋" w:hAnsi="仿宋" w:cs="仿宋"/>
        <w:noProof/>
        <w:sz w:val="16"/>
        <w:szCs w:val="16"/>
      </w:rPr>
      <w:t>1</w:t>
    </w:r>
    <w:r>
      <w:rPr>
        <w:rFonts w:ascii="仿宋" w:eastAsia="仿宋" w:hAnsi="仿宋" w:cs="仿宋"/>
        <w:sz w:val="16"/>
        <w:szCs w:val="16"/>
      </w:rPr>
      <w:fldChar w:fldCharType="end"/>
    </w:r>
  </w:p>
  <w:p w14:paraId="5F0A190B" w14:textId="77777777" w:rsidR="00B73BB6" w:rsidRDefault="00B73BB6">
    <w:pPr>
      <w:widowControl w:val="0"/>
      <w:spacing w:line="240" w:lineRule="auto"/>
      <w:jc w:val="center"/>
      <w:rPr>
        <w:rFonts w:ascii="仿宋" w:eastAsia="仿宋" w:hAnsi="仿宋" w:cs="仿宋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3987A" w14:textId="77777777" w:rsidR="00422EDC" w:rsidRDefault="00422EDC">
      <w:pPr>
        <w:spacing w:line="240" w:lineRule="auto"/>
      </w:pPr>
      <w:r>
        <w:separator/>
      </w:r>
    </w:p>
  </w:footnote>
  <w:footnote w:type="continuationSeparator" w:id="0">
    <w:p w14:paraId="6895A796" w14:textId="77777777" w:rsidR="00422EDC" w:rsidRDefault="00422E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568B9" w14:textId="77777777" w:rsidR="00B73BB6" w:rsidRDefault="007560EB">
    <w:pPr>
      <w:jc w:val="right"/>
    </w:pPr>
    <w:r>
      <w:rPr>
        <w:noProof/>
      </w:rPr>
      <w:drawing>
        <wp:inline distT="0" distB="0" distL="0" distR="0" wp14:anchorId="1CE6B051" wp14:editId="5906C554">
          <wp:extent cx="954251" cy="263500"/>
          <wp:effectExtent l="0" t="0" r="0" b="0"/>
          <wp:docPr id="1" name="image2.png" descr="横版标准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横版标准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251" cy="263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272A6" w14:textId="77777777" w:rsidR="00B73BB6" w:rsidRDefault="007560EB">
    <w:pPr>
      <w:jc w:val="right"/>
    </w:pPr>
    <w:r>
      <w:rPr>
        <w:noProof/>
      </w:rPr>
      <w:drawing>
        <wp:inline distT="0" distB="0" distL="0" distR="0" wp14:anchorId="73CD004E" wp14:editId="1A91938B">
          <wp:extent cx="954251" cy="263500"/>
          <wp:effectExtent l="0" t="0" r="0" b="0"/>
          <wp:docPr id="3" name="image2.png" descr="横版标准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横版标准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251" cy="263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89E"/>
    <w:multiLevelType w:val="multilevel"/>
    <w:tmpl w:val="7B2259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7C05C4"/>
    <w:multiLevelType w:val="multilevel"/>
    <w:tmpl w:val="B2644F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3E26E7"/>
    <w:multiLevelType w:val="multilevel"/>
    <w:tmpl w:val="46F8EB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6172DD"/>
    <w:multiLevelType w:val="multilevel"/>
    <w:tmpl w:val="CAB4E4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E880073"/>
    <w:multiLevelType w:val="multilevel"/>
    <w:tmpl w:val="BE623B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A3C7853"/>
    <w:multiLevelType w:val="multilevel"/>
    <w:tmpl w:val="AAF88150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B57460B"/>
    <w:multiLevelType w:val="multilevel"/>
    <w:tmpl w:val="CE1EE94A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3ECC5703"/>
    <w:multiLevelType w:val="multilevel"/>
    <w:tmpl w:val="CC2EB8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23659B4"/>
    <w:multiLevelType w:val="multilevel"/>
    <w:tmpl w:val="3048AA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6CB0F6D"/>
    <w:multiLevelType w:val="multilevel"/>
    <w:tmpl w:val="19FC19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A2B07EA"/>
    <w:multiLevelType w:val="multilevel"/>
    <w:tmpl w:val="A802DB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31469F8"/>
    <w:multiLevelType w:val="multilevel"/>
    <w:tmpl w:val="592EB53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5DC20AD"/>
    <w:multiLevelType w:val="multilevel"/>
    <w:tmpl w:val="7C88E2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E750C2F"/>
    <w:multiLevelType w:val="multilevel"/>
    <w:tmpl w:val="3F120D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0750298"/>
    <w:multiLevelType w:val="multilevel"/>
    <w:tmpl w:val="4A58AA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23F25FE"/>
    <w:multiLevelType w:val="multilevel"/>
    <w:tmpl w:val="8E003F12"/>
    <w:lvl w:ilvl="0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74DF680D"/>
    <w:multiLevelType w:val="multilevel"/>
    <w:tmpl w:val="291204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16"/>
  </w:num>
  <w:num w:numId="7">
    <w:abstractNumId w:val="11"/>
  </w:num>
  <w:num w:numId="8">
    <w:abstractNumId w:val="5"/>
  </w:num>
  <w:num w:numId="9">
    <w:abstractNumId w:val="6"/>
  </w:num>
  <w:num w:numId="10">
    <w:abstractNumId w:val="7"/>
  </w:num>
  <w:num w:numId="11">
    <w:abstractNumId w:val="0"/>
  </w:num>
  <w:num w:numId="12">
    <w:abstractNumId w:val="1"/>
  </w:num>
  <w:num w:numId="13">
    <w:abstractNumId w:val="9"/>
  </w:num>
  <w:num w:numId="14">
    <w:abstractNumId w:val="4"/>
  </w:num>
  <w:num w:numId="15">
    <w:abstractNumId w:val="13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BB6"/>
    <w:rsid w:val="00060BDF"/>
    <w:rsid w:val="00155E50"/>
    <w:rsid w:val="001C1A60"/>
    <w:rsid w:val="00422EDC"/>
    <w:rsid w:val="007560EB"/>
    <w:rsid w:val="00B73BB6"/>
    <w:rsid w:val="00CE78C5"/>
    <w:rsid w:val="00EF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1F789"/>
  <w15:docId w15:val="{11D28E6A-F87C-497D-AE23-B2D0357B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C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annotation text"/>
    <w:basedOn w:val="a"/>
    <w:link w:val="a7"/>
    <w:uiPriority w:val="99"/>
    <w:semiHidden/>
    <w:unhideWhenUsed/>
  </w:style>
  <w:style w:type="character" w:customStyle="1" w:styleId="a7">
    <w:name w:val="批注文字 字符"/>
    <w:basedOn w:val="a0"/>
    <w:link w:val="a6"/>
    <w:uiPriority w:val="99"/>
    <w:semiHidden/>
  </w:style>
  <w:style w:type="character" w:styleId="a8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9">
    <w:name w:val="header"/>
    <w:basedOn w:val="a"/>
    <w:link w:val="aa"/>
    <w:uiPriority w:val="99"/>
    <w:unhideWhenUsed/>
    <w:rsid w:val="00EF56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EF56FA"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EF56F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EF56FA"/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rsid w:val="001C1A60"/>
  </w:style>
  <w:style w:type="paragraph" w:styleId="TOC2">
    <w:name w:val="toc 2"/>
    <w:basedOn w:val="a"/>
    <w:next w:val="a"/>
    <w:autoRedefine/>
    <w:uiPriority w:val="39"/>
    <w:unhideWhenUsed/>
    <w:rsid w:val="001C1A60"/>
    <w:pPr>
      <w:ind w:leftChars="200" w:left="420"/>
    </w:pPr>
  </w:style>
  <w:style w:type="character" w:styleId="ad">
    <w:name w:val="Hyperlink"/>
    <w:basedOn w:val="a0"/>
    <w:uiPriority w:val="99"/>
    <w:unhideWhenUsed/>
    <w:rsid w:val="001C1A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961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 F</cp:lastModifiedBy>
  <cp:revision>6</cp:revision>
  <dcterms:created xsi:type="dcterms:W3CDTF">2022-03-16T05:55:00Z</dcterms:created>
  <dcterms:modified xsi:type="dcterms:W3CDTF">2022-03-16T06:18:00Z</dcterms:modified>
</cp:coreProperties>
</file>