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23C4E" w14:textId="24C3B468" w:rsidR="00B73BB6" w:rsidRPr="00CE78C5" w:rsidRDefault="003A05AD">
      <w:pPr>
        <w:spacing w:line="360" w:lineRule="auto"/>
        <w:rPr>
          <w:rFonts w:ascii="文泉驿微米黑" w:eastAsia="文泉驿微米黑" w:hAnsi="文泉驿微米黑" w:cs="Helvetica Neue"/>
          <w:sz w:val="28"/>
          <w:szCs w:val="28"/>
          <w:u w:val="single"/>
        </w:rPr>
      </w:pPr>
      <w:r>
        <w:rPr>
          <w:rFonts w:ascii="文泉驿微米黑" w:eastAsia="文泉驿微米黑" w:hAnsi="文泉驿微米黑" w:cs="Helvetica Neue"/>
          <w:noProof/>
        </w:rPr>
        <w:drawing>
          <wp:anchor distT="0" distB="0" distL="114300" distR="114300" simplePos="0" relativeHeight="251658240" behindDoc="0" locked="0" layoutInCell="1" allowOverlap="1" wp14:anchorId="7FDBD32F" wp14:editId="22243B56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20716" cy="10921363"/>
            <wp:effectExtent l="0" t="0" r="0" b="0"/>
            <wp:wrapNone/>
            <wp:docPr id="6" name="图片 6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应用程序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0716" cy="10921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606D40" w14:textId="2A2D3E81" w:rsidR="00B73BB6" w:rsidRPr="00CE78C5" w:rsidRDefault="00B73BB6">
      <w:pPr>
        <w:pStyle w:val="a3"/>
        <w:spacing w:line="360" w:lineRule="auto"/>
        <w:rPr>
          <w:rFonts w:ascii="文泉驿微米黑" w:eastAsia="文泉驿微米黑" w:hAnsi="文泉驿微米黑" w:cs="Helvetica Neue"/>
        </w:rPr>
      </w:pPr>
    </w:p>
    <w:p w14:paraId="1A4C2631" w14:textId="77777777" w:rsidR="00B73BB6" w:rsidRPr="00CE78C5" w:rsidRDefault="00B73BB6">
      <w:pPr>
        <w:spacing w:line="360" w:lineRule="auto"/>
        <w:rPr>
          <w:rFonts w:ascii="文泉驿微米黑" w:eastAsia="文泉驿微米黑" w:hAnsi="文泉驿微米黑" w:cs="Helvetica Neue"/>
        </w:rPr>
      </w:pPr>
    </w:p>
    <w:p w14:paraId="7661D5AD" w14:textId="77777777" w:rsidR="00B73BB6" w:rsidRPr="00CE78C5" w:rsidRDefault="007560EB">
      <w:pPr>
        <w:spacing w:line="360" w:lineRule="auto"/>
        <w:jc w:val="center"/>
        <w:rPr>
          <w:rFonts w:ascii="文泉驿微米黑" w:eastAsia="文泉驿微米黑" w:hAnsi="文泉驿微米黑" w:cs="Helvetica Neue"/>
          <w:sz w:val="52"/>
          <w:szCs w:val="52"/>
        </w:rPr>
      </w:pPr>
      <w:r w:rsidRPr="00CE78C5">
        <w:rPr>
          <w:rFonts w:ascii="文泉驿微米黑" w:eastAsia="文泉驿微米黑" w:hAnsi="文泉驿微米黑" w:cs="Helvetica Neue"/>
          <w:sz w:val="52"/>
          <w:szCs w:val="52"/>
        </w:rPr>
        <w:t>PingCAP</w:t>
      </w:r>
    </w:p>
    <w:p w14:paraId="224F50AD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57D6B604" w14:textId="77777777" w:rsidR="00B73BB6" w:rsidRPr="00CE78C5" w:rsidRDefault="007560EB">
      <w:pPr>
        <w:pStyle w:val="a3"/>
        <w:spacing w:line="360" w:lineRule="auto"/>
        <w:jc w:val="center"/>
        <w:rPr>
          <w:rFonts w:ascii="文泉驿微米黑" w:eastAsia="文泉驿微米黑" w:hAnsi="文泉驿微米黑" w:cs="Helvetica Neue"/>
          <w:sz w:val="22"/>
          <w:szCs w:val="22"/>
        </w:rPr>
      </w:pPr>
      <w:bookmarkStart w:id="0" w:name="_lmjt8mnivwzr" w:colFirst="0" w:colLast="0"/>
      <w:bookmarkEnd w:id="0"/>
      <w:r w:rsidRPr="00CE78C5">
        <w:rPr>
          <w:rFonts w:ascii="文泉驿微米黑" w:eastAsia="文泉驿微米黑" w:hAnsi="文泉驿微米黑" w:cs="Arial Unicode MS"/>
          <w:sz w:val="22"/>
          <w:szCs w:val="22"/>
        </w:rPr>
        <w:t>平凯星辰（北京）科技有限公司</w:t>
      </w:r>
    </w:p>
    <w:p w14:paraId="6311A7FE" w14:textId="77777777" w:rsidR="00B73BB6" w:rsidRPr="00CE78C5" w:rsidRDefault="007560EB">
      <w:pPr>
        <w:pStyle w:val="1"/>
        <w:spacing w:line="360" w:lineRule="auto"/>
        <w:rPr>
          <w:rFonts w:ascii="文泉驿微米黑" w:eastAsia="文泉驿微米黑" w:hAnsi="文泉驿微米黑" w:cs="Helvetica Neue"/>
        </w:rPr>
      </w:pPr>
      <w:bookmarkStart w:id="1" w:name="_zdn1prtkm2h7" w:colFirst="0" w:colLast="0"/>
      <w:bookmarkEnd w:id="1"/>
      <w:r w:rsidRPr="00CE78C5">
        <w:rPr>
          <w:rFonts w:ascii="文泉驿微米黑" w:eastAsia="文泉驿微米黑" w:hAnsi="文泉驿微米黑" w:cs="Helvetica Neue"/>
        </w:rPr>
        <w:t xml:space="preserve"> </w:t>
      </w:r>
    </w:p>
    <w:p w14:paraId="3766B4BC" w14:textId="77777777" w:rsidR="00B73BB6" w:rsidRPr="00CE78C5" w:rsidRDefault="00B73BB6">
      <w:pPr>
        <w:pStyle w:val="a3"/>
        <w:spacing w:line="360" w:lineRule="auto"/>
        <w:jc w:val="center"/>
        <w:rPr>
          <w:rFonts w:ascii="文泉驿微米黑" w:eastAsia="文泉驿微米黑" w:hAnsi="文泉驿微米黑" w:cs="Helvetica Neue"/>
        </w:rPr>
      </w:pPr>
      <w:bookmarkStart w:id="2" w:name="_u4i8jalntqel" w:colFirst="0" w:colLast="0"/>
      <w:bookmarkEnd w:id="2"/>
    </w:p>
    <w:p w14:paraId="7A3054A1" w14:textId="77777777" w:rsidR="00B73BB6" w:rsidRPr="00CE78C5" w:rsidRDefault="007560EB">
      <w:pPr>
        <w:pStyle w:val="a3"/>
        <w:spacing w:line="360" w:lineRule="auto"/>
        <w:jc w:val="center"/>
        <w:rPr>
          <w:rFonts w:ascii="文泉驿微米黑" w:eastAsia="文泉驿微米黑" w:hAnsi="文泉驿微米黑" w:cs="Helvetica Neue"/>
        </w:rPr>
      </w:pPr>
      <w:bookmarkStart w:id="3" w:name="_7cd44kvz9n24" w:colFirst="0" w:colLast="0"/>
      <w:bookmarkEnd w:id="3"/>
      <w:r w:rsidRPr="00CE78C5">
        <w:rPr>
          <w:rFonts w:ascii="文泉驿微米黑" w:eastAsia="文泉驿微米黑" w:hAnsi="文泉驿微米黑" w:cs="Arial Unicode MS"/>
        </w:rPr>
        <w:t>TiDB 安全白皮书（企业版）</w:t>
      </w:r>
    </w:p>
    <w:p w14:paraId="2B2B9781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426002CF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78589BF5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7A640142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69913989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035920A7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0D465F04" w14:textId="77777777" w:rsidR="00B73BB6" w:rsidRPr="00CE78C5" w:rsidRDefault="007560EB">
      <w:pPr>
        <w:spacing w:line="360" w:lineRule="auto"/>
        <w:ind w:left="2880" w:firstLine="720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</w:rPr>
        <w:t>产品版本：v5.3</w:t>
      </w:r>
    </w:p>
    <w:p w14:paraId="5FB7E6B5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2D1A87D2" w14:textId="77777777" w:rsidR="00B73BB6" w:rsidRPr="00CE78C5" w:rsidRDefault="007560EB">
      <w:pPr>
        <w:spacing w:line="360" w:lineRule="auto"/>
        <w:ind w:left="2880" w:firstLine="720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</w:rPr>
        <w:t>文档版本：20220331</w:t>
      </w:r>
    </w:p>
    <w:p w14:paraId="6DD94380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5DCD922D" w14:textId="77777777" w:rsidR="00B73BB6" w:rsidRPr="00060BDF" w:rsidRDefault="007560EB" w:rsidP="00060BDF">
      <w:pPr>
        <w:jc w:val="center"/>
        <w:rPr>
          <w:rFonts w:ascii="文泉驿微米黑" w:eastAsia="文泉驿微米黑" w:hAnsi="文泉驿微米黑" w:cs="Helvetica Neue"/>
          <w:sz w:val="40"/>
          <w:szCs w:val="40"/>
        </w:rPr>
      </w:pPr>
      <w:bookmarkStart w:id="4" w:name="_d11okltx2re6" w:colFirst="0" w:colLast="0"/>
      <w:bookmarkEnd w:id="4"/>
      <w:r w:rsidRPr="00060BDF">
        <w:rPr>
          <w:rFonts w:ascii="文泉驿微米黑" w:eastAsia="文泉驿微米黑" w:hAnsi="文泉驿微米黑"/>
          <w:sz w:val="40"/>
          <w:szCs w:val="40"/>
        </w:rPr>
        <w:lastRenderedPageBreak/>
        <w:t>法律声明</w:t>
      </w:r>
    </w:p>
    <w:p w14:paraId="326DAFE6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PingCAP 提醒您在阅读或使用本文档之前仔细阅读、充分理解本法律声明各条款的内容。如果您阅读或使用本文档，您的阅读或使用行为将被视为对本声明全部内容的认可。</w:t>
      </w:r>
    </w:p>
    <w:p w14:paraId="3501E572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1. 您应当通过 PingCAP 网站或 PingCAP 提供的其他授权通道下载、获取本文档，且仅能用于自身的合法合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规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的业务活动。本文档的内容视为 PingCAP 的保密信息，您应当严格遵守保密义务；未经 PingCAP 事先书面同意，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您不得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向任何第三方披露本手册内容或提供给任何第三方使用。</w:t>
      </w:r>
    </w:p>
    <w:p w14:paraId="24CC068E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2. 未经 PingCAP 事先书面许可，任何单位、公司或个人不得擅自摘抄、翻译、复制本文档内容的部分或全部，不得以任何方式或途径进行传播和宣传。</w:t>
      </w:r>
    </w:p>
    <w:p w14:paraId="42243BA5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3. 由于产品版本升级、调整或其他原因，本文档内容有可能变更。PingCAP 保留在没有任何通知或者提示下对本文档的内容进行修改的权利，并在 PingCAP 授权通道中不时发布更新后的用户文档。您应当实时关注用户文档的版本变更并通过 PingCAP 网站或 PingCAP 授权渠道下载、获取最新版的用户文档。</w:t>
      </w:r>
    </w:p>
    <w:p w14:paraId="0310FC6A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4. 本文档仅作为用户使用 PingCAP 产品及服务的参考性指引，PingCAP 以产品及服务的“现状”、“有缺陷”和“当前功能”的状态提供本文档。PingCAP 在现有技术的基础上尽最大努力提供相应的介绍及操作指引，但 PingCAP 在此明确声明对本文档内容的准确性、完整性、适用性、可靠性等不作任何明示或暗示的保证，本文档所引用的性能数据和程序示例仅用于说明目的，实际的性能结果可能因特定配置和操作条件而异。任何单位、公司或个人因为下载、使用或信赖本文档而发生任何差错或经济损失的， PingCAP 不承担任何法律责任。在任何情况下，PingCAP 均不对任何间接性、后果性、惩戒性、偶然性、特殊性或刑罚性的损害，包括用户使用或信赖本文档而遭受的利润损失，承担责任（即使 PingCAP 已被告知该等损失的可能性）。</w:t>
      </w:r>
    </w:p>
    <w:p w14:paraId="3DB02F52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5. 本文档中及PingCAP 网站上所有内容，包括但不限于作品、产品、图片、档案、资讯、资料、网站架构、网站画面的安排、网页设计等，均由 PingCAP 和/或其关联公司依法拥有其知识产权，包括但不限于商标权、专利权、著作权、商业秘密等。非经 PingCAP 和/或其关联公司书面同意，任何人不得擅自使用、修改、复制、公开传播、改变、散布、发行或公开发表 PingCAP 网站、产品程序或包括本文档在内的内容。此外，未经 PingCAP 事先书面同意，任何人不得以任何目的使用 PingCAP 商标（包括但不限于单独为或以组合形式包含“PingCAP”等 PingCAP 和/或其关联公司品牌，上述品牌的附属标志</w:t>
      </w:r>
      <w:r w:rsidRPr="00CE78C5">
        <w:rPr>
          <w:rFonts w:ascii="文泉驿微米黑" w:eastAsia="文泉驿微米黑" w:hAnsi="文泉驿微米黑" w:cs="Arial Unicode MS"/>
          <w:sz w:val="20"/>
          <w:szCs w:val="20"/>
        </w:rPr>
        <w:lastRenderedPageBreak/>
        <w:t>及图案或任何类似公司名称、商号、商标、产品或服务名称、域名、图案标示、标志、标识或通过特定描述使第三方能够识别 PingCAP 和/或其关联公司）。</w:t>
      </w:r>
    </w:p>
    <w:p w14:paraId="2B143B34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6. PingCAP 可能拥有涵盖本文档中描述的主题的专利或者专利申请，未经 PingCAP 事先书面许可，本文档并不授予您关于这些专利或专利申请的任何许可。</w:t>
      </w:r>
    </w:p>
    <w:p w14:paraId="422FFF46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7. 本文档中如有关于 PingCAP 未来方向或意图的声明，仅表示目标或者目的， 如有更改或撤销，恕不另行通知。</w:t>
      </w:r>
    </w:p>
    <w:p w14:paraId="466101E9" w14:textId="77777777" w:rsidR="00B73BB6" w:rsidRPr="00CE78C5" w:rsidRDefault="007560EB">
      <w:pPr>
        <w:spacing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8. 如若发现本文档存在任何错误，请与 PingCAP 取得直接联系。PingCAP 可能会以它认为合适的任何方式使用或分发您提供的任何信息，而无需对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您承担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任何义务。</w:t>
      </w:r>
      <w:r w:rsidRPr="00CE78C5">
        <w:rPr>
          <w:rFonts w:ascii="文泉驿微米黑" w:eastAsia="文泉驿微米黑" w:hAnsi="文泉驿微米黑"/>
        </w:rPr>
        <w:br w:type="page"/>
      </w:r>
    </w:p>
    <w:p w14:paraId="12932D8D" w14:textId="77777777" w:rsidR="00B73BB6" w:rsidRPr="00060BDF" w:rsidRDefault="007560EB" w:rsidP="00060BDF">
      <w:pPr>
        <w:jc w:val="center"/>
        <w:rPr>
          <w:rFonts w:ascii="文泉驿微米黑" w:eastAsia="文泉驿微米黑" w:hAnsi="文泉驿微米黑"/>
          <w:sz w:val="40"/>
          <w:szCs w:val="40"/>
        </w:rPr>
      </w:pPr>
      <w:bookmarkStart w:id="5" w:name="_kk25v9yulsde" w:colFirst="0" w:colLast="0"/>
      <w:bookmarkEnd w:id="5"/>
      <w:r w:rsidRPr="00060BDF">
        <w:rPr>
          <w:rFonts w:ascii="文泉驿微米黑" w:eastAsia="文泉驿微米黑" w:hAnsi="文泉驿微米黑"/>
          <w:sz w:val="40"/>
          <w:szCs w:val="40"/>
        </w:rPr>
        <w:lastRenderedPageBreak/>
        <w:t>目 录</w:t>
      </w:r>
    </w:p>
    <w:p w14:paraId="33472EE6" w14:textId="77777777" w:rsidR="00B73BB6" w:rsidRPr="00CE78C5" w:rsidRDefault="00B73BB6">
      <w:pPr>
        <w:jc w:val="center"/>
        <w:rPr>
          <w:rFonts w:ascii="文泉驿微米黑" w:eastAsia="文泉驿微米黑" w:hAnsi="文泉驿微米黑" w:cs="Helvetica Neue"/>
          <w:sz w:val="32"/>
          <w:szCs w:val="32"/>
        </w:rPr>
      </w:pPr>
    </w:p>
    <w:sdt>
      <w:sdtPr>
        <w:rPr>
          <w:rFonts w:ascii="文泉驿微米黑" w:eastAsia="文泉驿微米黑" w:hAnsi="文泉驿微米黑"/>
        </w:rPr>
        <w:id w:val="1004940347"/>
        <w:docPartObj>
          <w:docPartGallery w:val="Table of Contents"/>
          <w:docPartUnique/>
        </w:docPartObj>
      </w:sdtPr>
      <w:sdtEndPr/>
      <w:sdtContent>
        <w:p w14:paraId="1D4B5C7F" w14:textId="4644E171" w:rsidR="001C1A60" w:rsidRDefault="007560EB">
          <w:pPr>
            <w:pStyle w:val="TOC1"/>
            <w:tabs>
              <w:tab w:val="right" w:pos="9019"/>
            </w:tabs>
            <w:rPr>
              <w:noProof/>
            </w:rPr>
          </w:pPr>
          <w:r w:rsidRPr="00CE78C5">
            <w:rPr>
              <w:rFonts w:ascii="文泉驿微米黑" w:eastAsia="文泉驿微米黑" w:hAnsi="文泉驿微米黑"/>
            </w:rPr>
            <w:fldChar w:fldCharType="begin"/>
          </w:r>
          <w:r w:rsidRPr="00CE78C5">
            <w:rPr>
              <w:rFonts w:ascii="文泉驿微米黑" w:eastAsia="文泉驿微米黑" w:hAnsi="文泉驿微米黑"/>
            </w:rPr>
            <w:instrText xml:space="preserve"> TOC \h \u \z </w:instrText>
          </w:r>
          <w:r w:rsidRPr="00CE78C5">
            <w:rPr>
              <w:rFonts w:ascii="文泉驿微米黑" w:eastAsia="文泉驿微米黑" w:hAnsi="文泉驿微米黑"/>
            </w:rPr>
            <w:fldChar w:fldCharType="separate"/>
          </w:r>
          <w:hyperlink w:anchor="_Toc98332765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TiDB 安全性简介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_Toc98332765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5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F282570" w14:textId="2C4540EB" w:rsidR="001C1A60" w:rsidRDefault="00EA11DD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66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数据库安全风险分析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_Toc98332766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6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72312774" w14:textId="115A454B" w:rsidR="001C1A60" w:rsidRDefault="00EA11DD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67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TiDB 安全功能介绍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_Toc98332767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7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2C39163" w14:textId="1F3C7A7E" w:rsidR="001C1A60" w:rsidRDefault="00EA11DD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68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访问控制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_Toc98332768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7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03AD73BC" w14:textId="3E4B6DE7" w:rsidR="001C1A60" w:rsidRDefault="00EA11DD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69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传输加密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_Toc98332769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8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303DB4EF" w14:textId="07EFB323" w:rsidR="001C1A60" w:rsidRDefault="00EA11DD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0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权限管理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_Toc98332770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8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4A531329" w14:textId="40E38B24" w:rsidR="001C1A60" w:rsidRDefault="00EA11DD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1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存储加密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_Toc98332771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9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7012D9AB" w14:textId="552F5F02" w:rsidR="001C1A60" w:rsidRDefault="00EA11DD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2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日志脱敏数据保护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_Toc98332772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10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1E3563CB" w14:textId="2C7D462E" w:rsidR="001C1A60" w:rsidRDefault="00EA11DD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3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审计管理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_Toc98332773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11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0142212A" w14:textId="0FB8B5D7" w:rsidR="001C1A60" w:rsidRDefault="00EA11DD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74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软件升级及漏洞管理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_Toc98332774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12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0FF077F" w14:textId="660A0FA7" w:rsidR="001C1A60" w:rsidRDefault="00EA11DD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5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软件升级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_Toc98332775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12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32CF78AB" w14:textId="249E7194" w:rsidR="001C1A60" w:rsidRDefault="00EA11DD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6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漏洞管理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_Toc98332776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12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2724F524" w14:textId="5C54FBC8" w:rsidR="00B73BB6" w:rsidRPr="00CE78C5" w:rsidRDefault="007560EB">
          <w:pPr>
            <w:tabs>
              <w:tab w:val="right" w:pos="9025"/>
            </w:tabs>
            <w:spacing w:before="60" w:after="80" w:line="240" w:lineRule="auto"/>
            <w:ind w:left="360"/>
            <w:rPr>
              <w:rFonts w:ascii="文泉驿微米黑" w:eastAsia="文泉驿微米黑" w:hAnsi="文泉驿微米黑" w:cs="Helvetica Neue"/>
              <w:color w:val="000000"/>
            </w:rPr>
          </w:pPr>
          <w:r w:rsidRPr="00CE78C5">
            <w:rPr>
              <w:rFonts w:ascii="文泉驿微米黑" w:eastAsia="文泉驿微米黑" w:hAnsi="文泉驿微米黑"/>
            </w:rPr>
            <w:fldChar w:fldCharType="end"/>
          </w:r>
        </w:p>
      </w:sdtContent>
    </w:sdt>
    <w:p w14:paraId="4FDD1E46" w14:textId="77777777" w:rsidR="00B73BB6" w:rsidRPr="00CE78C5" w:rsidRDefault="007560EB">
      <w:p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/>
        </w:rPr>
        <w:br w:type="page"/>
      </w:r>
    </w:p>
    <w:p w14:paraId="70DF461C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6" w:name="_Toc98332765"/>
      <w:r w:rsidRPr="00CE78C5">
        <w:rPr>
          <w:rFonts w:ascii="文泉驿微米黑" w:eastAsia="文泉驿微米黑" w:hAnsi="文泉驿微米黑" w:cs="Arial Unicode MS"/>
        </w:rPr>
        <w:lastRenderedPageBreak/>
        <w:t>TiDB 安全性简介</w:t>
      </w:r>
      <w:bookmarkEnd w:id="6"/>
    </w:p>
    <w:p w14:paraId="4091827A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本手册介绍了 TiDB 数据库产品的安全功能。</w:t>
      </w:r>
    </w:p>
    <w:p w14:paraId="29476826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是一款定位于在线事务处理与在线分析处理（HTAP）的融合型分布式数据库产品，因此安全功能是 TiDB 数据库产品的关键能力和核心价值。本手册从数据库安全风险分析到 TiDB 安全功能设计，再到 TiDB 的软件升级和漏洞管理，详细地描述了 TiDB 的安全功能。</w:t>
      </w:r>
    </w:p>
    <w:p w14:paraId="33734DE0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本手册的读者包括并不局限于以下人员：</w:t>
      </w:r>
    </w:p>
    <w:p w14:paraId="697F5C92" w14:textId="77777777" w:rsidR="00B73BB6" w:rsidRPr="00CE78C5" w:rsidRDefault="007560EB">
      <w:pPr>
        <w:numPr>
          <w:ilvl w:val="0"/>
          <w:numId w:val="16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数据库管理员</w:t>
      </w:r>
    </w:p>
    <w:p w14:paraId="560F30D8" w14:textId="77777777" w:rsidR="00B73BB6" w:rsidRPr="00CE78C5" w:rsidRDefault="007560EB">
      <w:pPr>
        <w:numPr>
          <w:ilvl w:val="0"/>
          <w:numId w:val="16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运维工程师</w:t>
      </w:r>
      <w:r w:rsidRPr="00CE78C5">
        <w:rPr>
          <w:rFonts w:ascii="文泉驿微米黑" w:eastAsia="文泉驿微米黑" w:hAnsi="文泉驿微米黑"/>
        </w:rPr>
        <w:br w:type="page"/>
      </w:r>
    </w:p>
    <w:p w14:paraId="1FD1A636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7" w:name="_Toc98332766"/>
      <w:r w:rsidRPr="00CE78C5">
        <w:rPr>
          <w:rFonts w:ascii="文泉驿微米黑" w:eastAsia="文泉驿微米黑" w:hAnsi="文泉驿微米黑" w:cs="Arial Unicode MS"/>
        </w:rPr>
        <w:lastRenderedPageBreak/>
        <w:t>数据库安全风险分析</w:t>
      </w:r>
      <w:bookmarkEnd w:id="7"/>
    </w:p>
    <w:p w14:paraId="48E233FE" w14:textId="77777777" w:rsidR="00B73BB6" w:rsidRPr="00CE78C5" w:rsidRDefault="007560EB">
      <w:p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在数字化、信息化时代，数据作为个人或公司的重要资产，数据的安全性变得越来越重要。因此对于数据库而言，其安全能力也是产品的核心价值所在。</w:t>
      </w:r>
    </w:p>
    <w:p w14:paraId="28F170F7" w14:textId="77777777" w:rsidR="00B73BB6" w:rsidRPr="00CE78C5" w:rsidRDefault="007560EB">
      <w:pPr>
        <w:spacing w:before="20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通过分析数据库所面临的安全风险，可以更深入理解数据库的安全能力，数据库安全能力面临的主要安全风险：</w:t>
      </w:r>
    </w:p>
    <w:p w14:paraId="51877777" w14:textId="77777777" w:rsidR="00B73BB6" w:rsidRPr="00CE78C5" w:rsidRDefault="007560EB">
      <w:pPr>
        <w:jc w:val="center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Helvetica Neue"/>
          <w:noProof/>
          <w:sz w:val="24"/>
          <w:szCs w:val="24"/>
        </w:rPr>
        <w:drawing>
          <wp:inline distT="114300" distB="114300" distL="114300" distR="114300" wp14:anchorId="435ACD40" wp14:editId="0D80E84B">
            <wp:extent cx="3427491" cy="337683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7491" cy="3376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FEF1DC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访问控制机制：数据库不支持对账户访问的合理控制，如：不能支持 IP 白名单控制，不能支持账户密码的管理。</w:t>
      </w:r>
    </w:p>
    <w:p w14:paraId="539178C3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传输加密机制：数据库不支持对认证证书和传输加密的合理管理。如：不支持证书过期告警，不支持数据库客户端与服务端的传输进行加密。</w:t>
      </w:r>
    </w:p>
    <w:p w14:paraId="0ED2A3A4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权限管理机制：数据库不支持对账户进行合理的权限管理，如：不能满足账户权限最小化原则。</w:t>
      </w:r>
    </w:p>
    <w:p w14:paraId="41DC730A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存储加密机制：数据库不支持对静态数据进行加密，如：不支持对存储数据进行加密，不支持对备份数据进行加密。</w:t>
      </w:r>
    </w:p>
    <w:p w14:paraId="413623C5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敏感数据保护机制：数据库不支持对敏感数据进行合理保护，如：不支持对各类日志中对敏感数据进行脱敏处理。</w:t>
      </w:r>
    </w:p>
    <w:p w14:paraId="55070DF0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审计管理机制：数据库缺乏完善的审计机制，如：存在审计遗漏场景和审计可被绕过场景。</w:t>
      </w:r>
      <w:r w:rsidRPr="00CE78C5">
        <w:rPr>
          <w:rFonts w:ascii="文泉驿微米黑" w:eastAsia="文泉驿微米黑" w:hAnsi="文泉驿微米黑"/>
        </w:rPr>
        <w:br w:type="page"/>
      </w:r>
    </w:p>
    <w:p w14:paraId="0AAE9412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8" w:name="_Toc98332767"/>
      <w:r w:rsidRPr="00CE78C5">
        <w:rPr>
          <w:rFonts w:ascii="文泉驿微米黑" w:eastAsia="文泉驿微米黑" w:hAnsi="文泉驿微米黑" w:cs="Arial Unicode MS"/>
        </w:rPr>
        <w:lastRenderedPageBreak/>
        <w:t>TiDB 安全功能介绍</w:t>
      </w:r>
      <w:bookmarkEnd w:id="8"/>
    </w:p>
    <w:p w14:paraId="66732EE2" w14:textId="77777777" w:rsidR="00B73BB6" w:rsidRPr="00CE78C5" w:rsidRDefault="007560EB">
      <w:p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基于数据库面临的各类安全风险，TiDB 通过多层立体的安全功能设计保证了产品的安全性和可靠性，TiDB 的安全功能主要包括：访问控制、传输加密、权限管理、存储加密、脱敏数据保护、审计管理等。</w:t>
      </w:r>
    </w:p>
    <w:p w14:paraId="6BDA84B7" w14:textId="77777777" w:rsidR="00B73BB6" w:rsidRPr="00CE78C5" w:rsidRDefault="007560EB">
      <w:p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Helvetica Neue"/>
          <w:noProof/>
          <w:sz w:val="24"/>
          <w:szCs w:val="24"/>
        </w:rPr>
        <w:drawing>
          <wp:inline distT="114300" distB="114300" distL="114300" distR="114300" wp14:anchorId="255C4922" wp14:editId="606E668E">
            <wp:extent cx="4491038" cy="4500716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1038" cy="45007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2260E9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  <w:sz w:val="34"/>
          <w:szCs w:val="34"/>
          <w:highlight w:val="white"/>
        </w:rPr>
      </w:pPr>
      <w:bookmarkStart w:id="9" w:name="_Toc98332768"/>
      <w:r w:rsidRPr="00CE78C5">
        <w:rPr>
          <w:rFonts w:ascii="文泉驿微米黑" w:eastAsia="文泉驿微米黑" w:hAnsi="文泉驿微米黑" w:cs="Arial Unicode MS"/>
        </w:rPr>
        <w:t>访问控制</w:t>
      </w:r>
      <w:bookmarkEnd w:id="9"/>
    </w:p>
    <w:p w14:paraId="76EC8B01" w14:textId="77777777" w:rsidR="00B73BB6" w:rsidRPr="00CE78C5" w:rsidRDefault="007560EB">
      <w:pPr>
        <w:numPr>
          <w:ilvl w:val="0"/>
          <w:numId w:val="5"/>
        </w:numPr>
        <w:spacing w:before="240" w:after="2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 IP 白名单控制</w:t>
      </w:r>
    </w:p>
    <w:p w14:paraId="6B9DA6B0" w14:textId="77777777" w:rsidR="00B73BB6" w:rsidRPr="00CE78C5" w:rsidRDefault="007560EB">
      <w:pPr>
        <w:spacing w:before="2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创建用户时，指定该用户可以从哪些 IP 登录到 TiDB Server，如下：</w:t>
      </w:r>
    </w:p>
    <w:p w14:paraId="1A109B8F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create user 'user1'@'%'; --允许所有 IP 的客户端登录；</w:t>
      </w:r>
    </w:p>
    <w:p w14:paraId="0A2C8CE7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  <w:lang w:val="en-US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create user 'user1'@'localhost';--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仅允许本地客户端登录</w:t>
      </w: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；</w:t>
      </w:r>
    </w:p>
    <w:p w14:paraId="6A262620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  <w:lang w:val="en-US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create user 'user1'@'172.16.40.%';--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允许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指定网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段的客户端登录。</w:t>
      </w:r>
    </w:p>
    <w:p w14:paraId="549179E8" w14:textId="77777777" w:rsidR="00B73BB6" w:rsidRPr="00CE78C5" w:rsidRDefault="007560EB">
      <w:pPr>
        <w:numPr>
          <w:ilvl w:val="0"/>
          <w:numId w:val="1"/>
        </w:numPr>
        <w:spacing w:before="20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支持账户/密码管理</w:t>
      </w:r>
    </w:p>
    <w:p w14:paraId="6BFEA2C7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 xml:space="preserve">用户密码支持加密存储在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 xml:space="preserve">mysql.user 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中；</w:t>
      </w:r>
    </w:p>
    <w:p w14:paraId="22B7A2E8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支持用户通过校验“用户名+密码”登录到 TiDB；</w:t>
      </w:r>
    </w:p>
    <w:p w14:paraId="79F1666F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支持用户通过校验证书登录到 TiDB（此时必须开启加密传输）。</w:t>
      </w:r>
    </w:p>
    <w:p w14:paraId="3CF3AD74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0" w:name="_Toc98332769"/>
      <w:r w:rsidRPr="00CE78C5">
        <w:rPr>
          <w:rFonts w:ascii="文泉驿微米黑" w:eastAsia="文泉驿微米黑" w:hAnsi="文泉驿微米黑" w:cs="Arial Unicode MS"/>
        </w:rPr>
        <w:t>传输加密</w:t>
      </w:r>
      <w:bookmarkEnd w:id="10"/>
    </w:p>
    <w:p w14:paraId="6B52222A" w14:textId="77777777" w:rsidR="00B73BB6" w:rsidRPr="00CE78C5" w:rsidRDefault="007560EB">
      <w:pPr>
        <w:numPr>
          <w:ilvl w:val="0"/>
          <w:numId w:val="6"/>
        </w:numPr>
        <w:spacing w:before="14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TLS 加密传输</w:t>
      </w:r>
    </w:p>
    <w:p w14:paraId="48F59C18" w14:textId="77777777" w:rsidR="00B73BB6" w:rsidRPr="00CE78C5" w:rsidRDefault="007560EB">
      <w:pPr>
        <w:numPr>
          <w:ilvl w:val="0"/>
          <w:numId w:val="3"/>
        </w:numPr>
        <w:spacing w:before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服务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端支持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启用基于 TLS 协议的加密连接，通过客户端与服务端加密传输，可以保证信息传输的保密性、完整性，同时基于证书的单向认证/双向认证可以保证通信双方身份的真实性；</w:t>
      </w:r>
    </w:p>
    <w:p w14:paraId="117221DC" w14:textId="77777777" w:rsidR="00B73BB6" w:rsidRPr="00CE78C5" w:rsidRDefault="007560EB">
      <w:pPr>
        <w:numPr>
          <w:ilvl w:val="0"/>
          <w:numId w:val="3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兼容 MySQL 客户端，现有 MySQL 客户端可直接于 TiDB 进行加密连接。TiDB 支持 TLS 1.2、TLS 1.3 版本协议，同时兼容 TLS 1.0、TLS 1.1（因为 TLS 1.0、TLS 1.1 已经不安全，不建议使用）；</w:t>
      </w:r>
    </w:p>
    <w:p w14:paraId="62899FEE" w14:textId="77777777" w:rsidR="00B73BB6" w:rsidRPr="00CE78C5" w:rsidRDefault="007560EB">
      <w:pPr>
        <w:numPr>
          <w:ilvl w:val="0"/>
          <w:numId w:val="3"/>
        </w:numPr>
        <w:spacing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集群内部组件之间支持加密传输，各组件间的加密传输支持校验调用方身份，以防止拥有有效证书的非法访问者进行访问（例如：TiKV 只能被 TiDB 访问，则需要阻止拥有合法证书但非 TiDB 的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其他访问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者访问到 TiKV ）。</w:t>
      </w:r>
    </w:p>
    <w:p w14:paraId="54C95157" w14:textId="77777777" w:rsidR="00B73BB6" w:rsidRPr="00CE78C5" w:rsidRDefault="007560EB">
      <w:pPr>
        <w:numPr>
          <w:ilvl w:val="0"/>
          <w:numId w:val="2"/>
        </w:numPr>
        <w:spacing w:before="20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证书管理</w:t>
      </w:r>
    </w:p>
    <w:p w14:paraId="4A425551" w14:textId="77777777" w:rsidR="00B73BB6" w:rsidRPr="00CE78C5" w:rsidRDefault="007560EB">
      <w:pPr>
        <w:spacing w:before="140" w:after="140"/>
        <w:ind w:left="450" w:firstLine="27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对于证书替换场景，支持重载证书、密钥，无需重启 TiDB 实例。</w:t>
      </w:r>
    </w:p>
    <w:p w14:paraId="6DCFCEAD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1" w:name="_Toc98332770"/>
      <w:r w:rsidRPr="00CE78C5">
        <w:rPr>
          <w:rFonts w:ascii="文泉驿微米黑" w:eastAsia="文泉驿微米黑" w:hAnsi="文泉驿微米黑" w:cs="Arial Unicode MS"/>
        </w:rPr>
        <w:t>权限管理</w:t>
      </w:r>
      <w:bookmarkEnd w:id="11"/>
    </w:p>
    <w:p w14:paraId="5838C346" w14:textId="77777777" w:rsidR="00B73BB6" w:rsidRPr="00CE78C5" w:rsidRDefault="007560EB">
      <w:pPr>
        <w:numPr>
          <w:ilvl w:val="0"/>
          <w:numId w:val="14"/>
        </w:numPr>
        <w:spacing w:before="14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对象权限</w:t>
      </w:r>
    </w:p>
    <w:p w14:paraId="14A83B29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的权限管理系统是按照 MySQL 的权限管理进行实现，TiDB 支持大部分的 MySQL 的语法和权限类型。通过 GRANT/REVOKE 进行权限的授予/收回操作，例如：</w:t>
      </w:r>
    </w:p>
    <w:p w14:paraId="14F2487F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授予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xxx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用户对数据库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test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的读权限：</w:t>
      </w:r>
    </w:p>
    <w:p w14:paraId="2DD3F73F" w14:textId="77777777" w:rsidR="00B73BB6" w:rsidRPr="00CE78C5" w:rsidRDefault="007560EB">
      <w:pPr>
        <w:spacing w:line="348" w:lineRule="auto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GRANT SELECT ON test.* TO 'xxx'@'%';</w:t>
      </w:r>
    </w:p>
    <w:p w14:paraId="37C0EDD3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收回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xxx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用户对数据库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test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的读权限：</w:t>
      </w:r>
    </w:p>
    <w:p w14:paraId="7F708B7E" w14:textId="77777777" w:rsidR="00B73BB6" w:rsidRPr="00CE78C5" w:rsidRDefault="007560EB">
      <w:pPr>
        <w:spacing w:line="348" w:lineRule="auto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REVOKE SELECT ON `test`.* FROM 'xxx'@'%';</w:t>
      </w:r>
    </w:p>
    <w:p w14:paraId="1BA46ACB" w14:textId="77777777" w:rsidR="00B73BB6" w:rsidRPr="00CE78C5" w:rsidRDefault="007560EB">
      <w:pPr>
        <w:numPr>
          <w:ilvl w:val="0"/>
          <w:numId w:val="14"/>
        </w:numPr>
        <w:spacing w:before="20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动态权限</w:t>
      </w:r>
    </w:p>
    <w:p w14:paraId="0DA1B7B4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 xml:space="preserve">从 TiDB v5.1 开始，TiDB 支持 MySQL 8.0 中的动态权限特性。动态权限用于限制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SUPER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权限，实现对某些操作更细粒度的访问。例如，系统管理员可以使用动态权限来创建一个只能执行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BACKUP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和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RESTORE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操作的用户账户。</w:t>
      </w:r>
    </w:p>
    <w:p w14:paraId="10113296" w14:textId="77777777" w:rsidR="00B73BB6" w:rsidRPr="00CE78C5" w:rsidRDefault="007560EB">
      <w:pPr>
        <w:numPr>
          <w:ilvl w:val="0"/>
          <w:numId w:val="17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角色访问控制</w:t>
      </w:r>
    </w:p>
    <w:p w14:paraId="7ECE4ED3" w14:textId="77777777" w:rsidR="00B73BB6" w:rsidRPr="00CE78C5" w:rsidRDefault="007560EB">
      <w:pPr>
        <w:spacing w:after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使用基于角色的访问控制（Role-Based Access Control），其实现与MySQL 8.0 的 RBAC 系统相类似。RBAC 可以实现批量授权，可以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灵活维护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用户的权限，使得其可以精细化地保障数据访问安全，实现账号、操作、表级别的精细化授权控制。</w:t>
      </w:r>
    </w:p>
    <w:p w14:paraId="4BB2E68B" w14:textId="77777777" w:rsidR="00B73BB6" w:rsidRPr="00CE78C5" w:rsidRDefault="007560EB">
      <w:pPr>
        <w:spacing w:after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兼容大部分 MySQL RBAC 系统的语法。用户可以创建角色、删除角色、将权限赋予角色；也可以将角色授予给其他用户，被授予的用户在启用角色后，可以得到角色所包含的权限。</w:t>
      </w:r>
    </w:p>
    <w:p w14:paraId="29433FEF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为角色授予权限和为用户授予权限操作相同，可参考 TiDB 权限管理，例如：为 app_read 角色授予数据库 app_db 的读权限：</w:t>
      </w:r>
    </w:p>
    <w:p w14:paraId="13F87AB6" w14:textId="77777777" w:rsidR="00B73BB6" w:rsidRPr="00CE78C5" w:rsidRDefault="007560EB">
      <w:pPr>
        <w:spacing w:before="200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GRANT SELECT ON app_db.* TO 'app_read'@'%';</w:t>
      </w:r>
    </w:p>
    <w:p w14:paraId="3E884526" w14:textId="77777777" w:rsidR="00B73BB6" w:rsidRPr="00CE78C5" w:rsidRDefault="007560EB">
      <w:pPr>
        <w:numPr>
          <w:ilvl w:val="0"/>
          <w:numId w:val="12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证书鉴权</w:t>
      </w:r>
    </w:p>
    <w:p w14:paraId="0CD1A304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支持基于证书鉴权的登录方式。采用这种方式，TiDB 对不同用户签发证书，使用加密连接来传输数据，并在用户登录时验证证书。相比 MySQL 用户常用的用户名密码验证方式，与 MySQL 相兼容的证书鉴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权方式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更安全。</w:t>
      </w:r>
    </w:p>
    <w:p w14:paraId="61678C9E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2" w:name="_Toc98332771"/>
      <w:r w:rsidRPr="00CE78C5">
        <w:rPr>
          <w:rFonts w:ascii="文泉驿微米黑" w:eastAsia="文泉驿微米黑" w:hAnsi="文泉驿微米黑" w:cs="Arial Unicode MS"/>
        </w:rPr>
        <w:t>存储加密</w:t>
      </w:r>
      <w:bookmarkEnd w:id="12"/>
    </w:p>
    <w:p w14:paraId="5C8A8421" w14:textId="77777777" w:rsidR="00B73BB6" w:rsidRPr="00CE78C5" w:rsidRDefault="007560EB">
      <w:pPr>
        <w:numPr>
          <w:ilvl w:val="0"/>
          <w:numId w:val="13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</w:t>
      </w:r>
    </w:p>
    <w:p w14:paraId="48FBD40F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 (Encryption at Rest) 即在存储数据时进行数据加密。对于数据库，静态加密功能也叫透明数据加密 (TDE)。静态加密功能是在存储数据前就对数据进行加密处理，用户必须通过数据库的身份和权限验证才能访问静态加密后的数据。即使有攻击者获得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物理机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的访问权限，也无法通过复制磁盘上的文件来访问这些数据。</w:t>
      </w:r>
    </w:p>
    <w:p w14:paraId="000316C6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静态加密功能主要包括 TiKV 静态加密和 TiFlash 静态加密，同时对于 TiDB 落盘的临时文件也支持对其进行加密存储。</w:t>
      </w:r>
    </w:p>
    <w:p w14:paraId="118D5CCF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>TiKV 静态加密</w:t>
      </w:r>
    </w:p>
    <w:p w14:paraId="772E317C" w14:textId="77777777" w:rsidR="00B73BB6" w:rsidRPr="00CE78C5" w:rsidRDefault="007560EB">
      <w:pP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TiKV 从 v4.0.0 起支持静态加密，即在 CTR 模式下使用 AES 对数据文件进行透明加密。要启用静态加密，用户须提供一个加密密钥，即主密钥。可以通过 AWS Key Management Service (KMS) 提供主密钥 (Master Key)，也可以指定将密钥以明文形式存储在文件中，推荐使用KMS提供主密钥。</w:t>
      </w:r>
    </w:p>
    <w:p w14:paraId="422D6A3B" w14:textId="77777777" w:rsidR="00B73BB6" w:rsidRPr="00CE78C5" w:rsidRDefault="007560EB">
      <w:pP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TiKV 支持自动轮换 (Rotate) 用于加密实际数据文件的密钥，主密钥则可以由用户手动轮换。请注意，静态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加密仅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加密静态数据（即磁盘上的数据），而不加密网络传输中的数据。</w:t>
      </w:r>
    </w:p>
    <w:p w14:paraId="6351252F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TiFlash 静态加密</w:t>
      </w:r>
    </w:p>
    <w:p w14:paraId="3B0C6E6A" w14:textId="77777777" w:rsidR="00B73BB6" w:rsidRPr="00CE78C5" w:rsidRDefault="007560EB">
      <w:pPr>
        <w:pBdr>
          <w:top w:val="nil"/>
          <w:left w:val="nil"/>
          <w:bottom w:val="nil"/>
          <w:right w:val="nil"/>
          <w:between w:val="nil"/>
        </w:pBd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TiFlash 从 v4.0.5 起支持静态加密。数据密钥由 TiFlash 生成。TiFlash（包括 TiFlash Proxy）写入的所有文件，包括数据文件、Schema 文件、临时文件等，均由当前数据密钥加密。TiFlash 支持的加密算法、加密配置方法和监控项含义等均与 TiKV 一致。</w:t>
      </w:r>
    </w:p>
    <w:p w14:paraId="66F4B963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落盘临时文件加密</w:t>
      </w:r>
    </w:p>
    <w:p w14:paraId="557905D9" w14:textId="77777777" w:rsidR="00B73BB6" w:rsidRPr="00CE78C5" w:rsidRDefault="007560EB">
      <w:pPr>
        <w:shd w:val="clear" w:color="auto" w:fill="FFFFFF"/>
        <w:spacing w:after="2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当配置项 oom-use-tmp-storage 为 true 时，如果单条 SQL 语句的内存使用超出 mem-quota-query 的限制，某些算子可以将执行时的中间结果作为临时文件落盘保存，直到查询执行完成之后将它们删除。对于这类落盘的临时文件，支持用户开启加密功能，以防止攻击者通过读取临时文件来访问数据。</w:t>
      </w:r>
    </w:p>
    <w:p w14:paraId="1EE22B7A" w14:textId="77777777" w:rsidR="00B73BB6" w:rsidRPr="00CE78C5" w:rsidRDefault="007560EB">
      <w:pPr>
        <w:numPr>
          <w:ilvl w:val="0"/>
          <w:numId w:val="11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备份加密</w:t>
      </w:r>
    </w:p>
    <w:p w14:paraId="65AAB266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从 v4.0.0 起，Backup &amp; Restore (BR) 支持对备份到 S3 的数据进行 S3 服务端加密 (SSE)。BR S3 服务端加密也支持使用用户自行创建的 AWS KMS 密钥进行加密。</w:t>
      </w:r>
    </w:p>
    <w:p w14:paraId="608ACD0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3" w:name="_Toc98332772"/>
      <w:r w:rsidRPr="00CE78C5">
        <w:rPr>
          <w:rFonts w:ascii="文泉驿微米黑" w:eastAsia="文泉驿微米黑" w:hAnsi="文泉驿微米黑" w:cs="Arial Unicode MS"/>
        </w:rPr>
        <w:t>日志脱敏数据保护</w:t>
      </w:r>
      <w:bookmarkEnd w:id="13"/>
    </w:p>
    <w:p w14:paraId="47E8FE9B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在提供详细的日志信息时，可能会把数据库敏感的数据（例如用户数据）打印出来，造成数据安全方面的风险。因此 TiDB、TiKV、TiFlash、PD 等组件各提供了一个配置项开关，开关打开后，会隐藏日志中包含的用户数据值。</w:t>
      </w:r>
    </w:p>
    <w:p w14:paraId="507C5175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4" w:name="_Toc98332773"/>
      <w:r w:rsidRPr="00CE78C5">
        <w:rPr>
          <w:rFonts w:ascii="文泉驿微米黑" w:eastAsia="文泉驿微米黑" w:hAnsi="文泉驿微米黑" w:cs="Arial Unicode MS"/>
        </w:rPr>
        <w:lastRenderedPageBreak/>
        <w:t>审计管理</w:t>
      </w:r>
      <w:bookmarkEnd w:id="14"/>
    </w:p>
    <w:p w14:paraId="4C4DC47A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提供 SQL 审计插件，满足合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规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审计的要求，也便于安全、运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维人员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查看 SQL 明细功能，及时发现问题。</w:t>
      </w:r>
    </w:p>
    <w:p w14:paraId="5E776764" w14:textId="77777777" w:rsidR="00B73BB6" w:rsidRPr="00CE78C5" w:rsidRDefault="007560EB">
      <w:pPr>
        <w:spacing w:before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TiDB支持的审计事件类型有:</w:t>
      </w:r>
    </w:p>
    <w:p w14:paraId="25C656D3" w14:textId="77777777" w:rsidR="00B73BB6" w:rsidRPr="00CE78C5" w:rsidRDefault="00B73BB6">
      <w:pPr>
        <w:spacing w:before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</w:p>
    <w:tbl>
      <w:tblPr>
        <w:tblStyle w:val="a5"/>
        <w:tblW w:w="8715" w:type="dxa"/>
        <w:tblInd w:w="5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1635"/>
        <w:gridCol w:w="2625"/>
        <w:gridCol w:w="2295"/>
      </w:tblGrid>
      <w:tr w:rsidR="00B73BB6" w:rsidRPr="00CE78C5" w14:paraId="5F6D65C6" w14:textId="77777777">
        <w:trPr>
          <w:trHeight w:val="25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FD9AEB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Event Class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2D0109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SubEvent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8DA40A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开关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DAF171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备注</w:t>
            </w:r>
          </w:p>
        </w:tc>
      </w:tr>
      <w:tr w:rsidR="00B73BB6" w:rsidRPr="00CE78C5" w14:paraId="78A9C26A" w14:textId="77777777">
        <w:trPr>
          <w:trHeight w:val="121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E6422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CONNECTION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84E194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Connected</w:t>
            </w:r>
          </w:p>
          <w:p w14:paraId="42CEDDEF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Disconnect</w:t>
            </w:r>
          </w:p>
          <w:p w14:paraId="1524EB46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ChangeUser</w:t>
            </w:r>
          </w:p>
          <w:p w14:paraId="4462A0EA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PreAuth</w:t>
            </w:r>
          </w:p>
          <w:p w14:paraId="16C40B9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Reject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FDB735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默认开启</w:t>
            </w:r>
          </w:p>
          <w:p w14:paraId="156A692A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只能通过禁用插件关闭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511BF1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连接事件和</w:t>
            </w:r>
            <w:proofErr w:type="gramStart"/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鉴权</w:t>
            </w:r>
            <w:proofErr w:type="gramEnd"/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事件</w:t>
            </w:r>
          </w:p>
        </w:tc>
      </w:tr>
      <w:tr w:rsidR="00B73BB6" w:rsidRPr="00CE78C5" w14:paraId="0A96FE26" w14:textId="77777777">
        <w:trPr>
          <w:trHeight w:val="2190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39462DB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TABLE_ACCESS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A13943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Insert</w:t>
            </w:r>
          </w:p>
          <w:p w14:paraId="5A1E80AD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Select</w:t>
            </w:r>
          </w:p>
          <w:p w14:paraId="5F3B55AC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Update</w:t>
            </w:r>
          </w:p>
          <w:p w14:paraId="025285C0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Replace</w:t>
            </w:r>
          </w:p>
          <w:p w14:paraId="32E1B732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Delete</w:t>
            </w:r>
          </w:p>
          <w:p w14:paraId="183DC59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LoadData</w:t>
            </w:r>
          </w:p>
          <w:p w14:paraId="14D22D31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Alter</w:t>
            </w:r>
          </w:p>
          <w:p w14:paraId="5E1C6387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DropTable</w:t>
            </w:r>
          </w:p>
          <w:p w14:paraId="02230AC3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CreateTable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6090B7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默认关闭</w:t>
            </w:r>
          </w:p>
          <w:p w14:paraId="349C86F6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需要通过修改配置表指定 db - user - table - 事件 来开启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F26AF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带 Table 的 SQL</w:t>
            </w:r>
          </w:p>
          <w:p w14:paraId="35FEC9F8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会对 SQL 中的参数脱敏处理替换为 “?“</w:t>
            </w:r>
          </w:p>
        </w:tc>
      </w:tr>
      <w:tr w:rsidR="00B73BB6" w:rsidRPr="00CE78C5" w14:paraId="48540158" w14:textId="77777777">
        <w:trPr>
          <w:trHeight w:val="49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A09D1E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GENERAL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5B87345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-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2B0312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默认开启</w:t>
            </w:r>
          </w:p>
          <w:p w14:paraId="4D219DAF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只能通过禁用插件关闭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AB1BBE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没有 Table 访问的其他 SQL</w:t>
            </w:r>
          </w:p>
        </w:tc>
      </w:tr>
    </w:tbl>
    <w:p w14:paraId="59C46515" w14:textId="77777777" w:rsidR="00B73BB6" w:rsidRPr="00CE78C5" w:rsidRDefault="007560EB">
      <w:pPr>
        <w:spacing w:before="140" w:after="140"/>
        <w:ind w:left="360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/>
        </w:rPr>
        <w:br w:type="page"/>
      </w:r>
    </w:p>
    <w:p w14:paraId="5E66C7D8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15" w:name="_Toc98332774"/>
      <w:r w:rsidRPr="00CE78C5">
        <w:rPr>
          <w:rFonts w:ascii="文泉驿微米黑" w:eastAsia="文泉驿微米黑" w:hAnsi="文泉驿微米黑" w:cs="Arial Unicode MS"/>
        </w:rPr>
        <w:lastRenderedPageBreak/>
        <w:t>软件升级及漏洞管理</w:t>
      </w:r>
      <w:bookmarkEnd w:id="15"/>
    </w:p>
    <w:p w14:paraId="280D94E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6" w:name="_Toc98332775"/>
      <w:r w:rsidRPr="00CE78C5">
        <w:rPr>
          <w:rFonts w:ascii="文泉驿微米黑" w:eastAsia="文泉驿微米黑" w:hAnsi="文泉驿微米黑" w:cs="Arial Unicode MS"/>
        </w:rPr>
        <w:t>软件升级</w:t>
      </w:r>
      <w:bookmarkEnd w:id="16"/>
    </w:p>
    <w:p w14:paraId="2C16C0FB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将定期提供产品的新版本软件；</w:t>
      </w:r>
    </w:p>
    <w:p w14:paraId="7FF62D34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版本升级采用自愿原则，由客户自行决定是否升级；</w:t>
      </w:r>
    </w:p>
    <w:p w14:paraId="223123CC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若某个版本存在重大的安全风险，TiDB 将会发布预警提示，并通知用户尽快升级至安全可靠版本。</w:t>
      </w:r>
    </w:p>
    <w:p w14:paraId="5236FEF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7" w:name="_Toc98332776"/>
      <w:r w:rsidRPr="00CE78C5">
        <w:rPr>
          <w:rFonts w:ascii="文泉驿微米黑" w:eastAsia="文泉驿微米黑" w:hAnsi="文泉驿微米黑" w:cs="Arial Unicode MS"/>
        </w:rPr>
        <w:t>漏洞管理</w:t>
      </w:r>
      <w:bookmarkEnd w:id="17"/>
    </w:p>
    <w:p w14:paraId="22E0D407" w14:textId="77777777" w:rsidR="00B73BB6" w:rsidRPr="00CE78C5" w:rsidRDefault="007560EB" w:rsidP="00CE78C5">
      <w:pPr>
        <w:spacing w:before="140" w:after="140"/>
        <w:rPr>
          <w:rFonts w:ascii="文泉驿微米黑" w:eastAsia="文泉驿微米黑" w:hAnsi="文泉驿微米黑"/>
          <w:color w:val="000000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根据相关法规要求，TiDB 提供了漏洞披露渠道，及时向用户披露产品的漏洞信息。</w:t>
      </w:r>
    </w:p>
    <w:p w14:paraId="2632D926" w14:textId="77777777" w:rsidR="00B73BB6" w:rsidRPr="00CE78C5" w:rsidRDefault="007560EB">
      <w:p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欢迎反馈 TiDB 相关的威胁情报和安全建议，提交 TiDB 产品的未知漏洞，请发邮件到 security@tidb.io 。详情请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参考官网公布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的漏洞响应机制。</w:t>
      </w:r>
    </w:p>
    <w:p w14:paraId="07C16106" w14:textId="77777777" w:rsidR="00B73BB6" w:rsidRPr="00CE78C5" w:rsidRDefault="007560EB">
      <w:p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如果你对 TiDB 产品有任何安全相关的疑问或建议，欢迎在 AskTUG 社区的安全板块发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帖进行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反馈，TiDB 团队期待与你有更频繁的直接交流。</w:t>
      </w:r>
    </w:p>
    <w:p w14:paraId="20B3CAF8" w14:textId="77777777" w:rsidR="00B73BB6" w:rsidRPr="00CE78C5" w:rsidRDefault="00B73BB6">
      <w:pPr>
        <w:rPr>
          <w:rFonts w:ascii="文泉驿微米黑" w:eastAsia="文泉驿微米黑" w:hAnsi="文泉驿微米黑" w:cs="Helvetica Neue"/>
          <w:highlight w:val="yellow"/>
        </w:rPr>
      </w:pPr>
    </w:p>
    <w:sectPr w:rsidR="00B73BB6" w:rsidRPr="00CE78C5">
      <w:headerReference w:type="default" r:id="rId10"/>
      <w:footerReference w:type="default" r:id="rId11"/>
      <w:head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9AC29" w14:textId="77777777" w:rsidR="00EA11DD" w:rsidRDefault="00EA11DD">
      <w:pPr>
        <w:spacing w:line="240" w:lineRule="auto"/>
      </w:pPr>
      <w:r>
        <w:separator/>
      </w:r>
    </w:p>
  </w:endnote>
  <w:endnote w:type="continuationSeparator" w:id="0">
    <w:p w14:paraId="515031CB" w14:textId="77777777" w:rsidR="00EA11DD" w:rsidRDefault="00EA11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泉驿微米黑">
    <w:panose1 w:val="020B0606030804020204"/>
    <w:charset w:val="86"/>
    <w:family w:val="swiss"/>
    <w:pitch w:val="variable"/>
    <w:sig w:usb0="E10002EF" w:usb1="6BDFFCFB" w:usb2="00800036" w:usb3="00000000" w:csb0="003E019F" w:csb1="00000000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71E3" w14:textId="77777777" w:rsidR="00B73BB6" w:rsidRPr="00EF56FA" w:rsidRDefault="007560EB">
    <w:pPr>
      <w:widowControl w:val="0"/>
      <w:spacing w:line="240" w:lineRule="auto"/>
      <w:jc w:val="both"/>
      <w:rPr>
        <w:rFonts w:ascii="文泉驿微米黑" w:eastAsia="文泉驿微米黑" w:hAnsi="文泉驿微米黑" w:cs="仿宋"/>
        <w:sz w:val="16"/>
        <w:szCs w:val="16"/>
      </w:rPr>
    </w:pPr>
    <w:r w:rsidRPr="00EF56FA">
      <w:rPr>
        <w:rFonts w:ascii="文泉驿微米黑" w:eastAsia="文泉驿微米黑" w:hAnsi="文泉驿微米黑" w:cs="仿宋"/>
        <w:sz w:val="16"/>
        <w:szCs w:val="16"/>
      </w:rPr>
      <w:t>© 2022 PingCAP 公司保留所有权利。除非版权法允许，否则在未得到本公司事先给出的书面许可情况下，严禁复制、改编或翻译本文。</w:t>
    </w:r>
  </w:p>
  <w:p w14:paraId="7A2B0274" w14:textId="77777777" w:rsidR="00B73BB6" w:rsidRDefault="007560EB">
    <w:pPr>
      <w:widowControl w:val="0"/>
      <w:spacing w:line="240" w:lineRule="auto"/>
      <w:jc w:val="center"/>
      <w:rPr>
        <w:rFonts w:ascii="仿宋" w:eastAsia="仿宋" w:hAnsi="仿宋" w:cs="仿宋"/>
        <w:sz w:val="16"/>
        <w:szCs w:val="16"/>
      </w:rPr>
    </w:pPr>
    <w:r>
      <w:rPr>
        <w:rFonts w:ascii="仿宋" w:eastAsia="仿宋" w:hAnsi="仿宋" w:cs="仿宋"/>
        <w:sz w:val="16"/>
        <w:szCs w:val="16"/>
      </w:rPr>
      <w:fldChar w:fldCharType="begin"/>
    </w:r>
    <w:r>
      <w:rPr>
        <w:rFonts w:ascii="仿宋" w:eastAsia="仿宋" w:hAnsi="仿宋" w:cs="仿宋"/>
        <w:sz w:val="16"/>
        <w:szCs w:val="16"/>
      </w:rPr>
      <w:instrText>PAGE</w:instrText>
    </w:r>
    <w:r>
      <w:rPr>
        <w:rFonts w:ascii="仿宋" w:eastAsia="仿宋" w:hAnsi="仿宋" w:cs="仿宋"/>
        <w:sz w:val="16"/>
        <w:szCs w:val="16"/>
      </w:rPr>
      <w:fldChar w:fldCharType="separate"/>
    </w:r>
    <w:r w:rsidR="00CE78C5">
      <w:rPr>
        <w:rFonts w:ascii="仿宋" w:eastAsia="仿宋" w:hAnsi="仿宋" w:cs="仿宋"/>
        <w:noProof/>
        <w:sz w:val="16"/>
        <w:szCs w:val="16"/>
      </w:rPr>
      <w:t>1</w:t>
    </w:r>
    <w:r>
      <w:rPr>
        <w:rFonts w:ascii="仿宋" w:eastAsia="仿宋" w:hAnsi="仿宋" w:cs="仿宋"/>
        <w:sz w:val="16"/>
        <w:szCs w:val="16"/>
      </w:rPr>
      <w:fldChar w:fldCharType="end"/>
    </w:r>
  </w:p>
  <w:p w14:paraId="5F0A190B" w14:textId="77777777" w:rsidR="00B73BB6" w:rsidRDefault="00B73BB6">
    <w:pPr>
      <w:widowControl w:val="0"/>
      <w:spacing w:line="240" w:lineRule="auto"/>
      <w:jc w:val="center"/>
      <w:rPr>
        <w:rFonts w:ascii="仿宋" w:eastAsia="仿宋" w:hAnsi="仿宋" w:cs="仿宋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ADE71" w14:textId="77777777" w:rsidR="00EA11DD" w:rsidRDefault="00EA11DD">
      <w:pPr>
        <w:spacing w:line="240" w:lineRule="auto"/>
      </w:pPr>
      <w:r>
        <w:separator/>
      </w:r>
    </w:p>
  </w:footnote>
  <w:footnote w:type="continuationSeparator" w:id="0">
    <w:p w14:paraId="7E0F9622" w14:textId="77777777" w:rsidR="00EA11DD" w:rsidRDefault="00EA11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68B9" w14:textId="77777777" w:rsidR="00B73BB6" w:rsidRDefault="007560EB">
    <w:pPr>
      <w:jc w:val="right"/>
    </w:pPr>
    <w:r>
      <w:rPr>
        <w:noProof/>
      </w:rPr>
      <w:drawing>
        <wp:inline distT="0" distB="0" distL="0" distR="0" wp14:anchorId="1CE6B051" wp14:editId="5906C554">
          <wp:extent cx="954251" cy="263500"/>
          <wp:effectExtent l="0" t="0" r="0" b="0"/>
          <wp:docPr id="1" name="image2.png" descr="横版标准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横版标准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251" cy="26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272A6" w14:textId="77777777" w:rsidR="00B73BB6" w:rsidRDefault="007560EB">
    <w:pPr>
      <w:jc w:val="right"/>
    </w:pPr>
    <w:r>
      <w:rPr>
        <w:noProof/>
      </w:rPr>
      <w:drawing>
        <wp:inline distT="0" distB="0" distL="0" distR="0" wp14:anchorId="73CD004E" wp14:editId="1A91938B">
          <wp:extent cx="954251" cy="263500"/>
          <wp:effectExtent l="0" t="0" r="0" b="0"/>
          <wp:docPr id="3" name="image2.png" descr="横版标准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横版标准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251" cy="26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89E"/>
    <w:multiLevelType w:val="multilevel"/>
    <w:tmpl w:val="7B225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C05C4"/>
    <w:multiLevelType w:val="multilevel"/>
    <w:tmpl w:val="B2644F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3E26E7"/>
    <w:multiLevelType w:val="multilevel"/>
    <w:tmpl w:val="46F8EB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6172DD"/>
    <w:multiLevelType w:val="multilevel"/>
    <w:tmpl w:val="CAB4E4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E880073"/>
    <w:multiLevelType w:val="multilevel"/>
    <w:tmpl w:val="BE62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A3C7853"/>
    <w:multiLevelType w:val="multilevel"/>
    <w:tmpl w:val="AAF88150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B57460B"/>
    <w:multiLevelType w:val="multilevel"/>
    <w:tmpl w:val="CE1EE94A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ECC5703"/>
    <w:multiLevelType w:val="multilevel"/>
    <w:tmpl w:val="CC2EB8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23659B4"/>
    <w:multiLevelType w:val="multilevel"/>
    <w:tmpl w:val="3048AA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CB0F6D"/>
    <w:multiLevelType w:val="multilevel"/>
    <w:tmpl w:val="19FC1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A2B07EA"/>
    <w:multiLevelType w:val="multilevel"/>
    <w:tmpl w:val="A802DB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31469F8"/>
    <w:multiLevelType w:val="multilevel"/>
    <w:tmpl w:val="592EB53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5DC20AD"/>
    <w:multiLevelType w:val="multilevel"/>
    <w:tmpl w:val="7C88E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E750C2F"/>
    <w:multiLevelType w:val="multilevel"/>
    <w:tmpl w:val="3F120D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0750298"/>
    <w:multiLevelType w:val="multilevel"/>
    <w:tmpl w:val="4A58AA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23F25FE"/>
    <w:multiLevelType w:val="multilevel"/>
    <w:tmpl w:val="8E003F12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74DF680D"/>
    <w:multiLevelType w:val="multilevel"/>
    <w:tmpl w:val="291204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28563288">
    <w:abstractNumId w:val="10"/>
  </w:num>
  <w:num w:numId="2" w16cid:durableId="204145794">
    <w:abstractNumId w:val="12"/>
  </w:num>
  <w:num w:numId="3" w16cid:durableId="570046259">
    <w:abstractNumId w:val="15"/>
  </w:num>
  <w:num w:numId="4" w16cid:durableId="407266620">
    <w:abstractNumId w:val="2"/>
  </w:num>
  <w:num w:numId="5" w16cid:durableId="593244810">
    <w:abstractNumId w:val="8"/>
  </w:num>
  <w:num w:numId="6" w16cid:durableId="821166307">
    <w:abstractNumId w:val="16"/>
  </w:num>
  <w:num w:numId="7" w16cid:durableId="1135215510">
    <w:abstractNumId w:val="11"/>
  </w:num>
  <w:num w:numId="8" w16cid:durableId="194926932">
    <w:abstractNumId w:val="5"/>
  </w:num>
  <w:num w:numId="9" w16cid:durableId="1782873730">
    <w:abstractNumId w:val="6"/>
  </w:num>
  <w:num w:numId="10" w16cid:durableId="549852323">
    <w:abstractNumId w:val="7"/>
  </w:num>
  <w:num w:numId="11" w16cid:durableId="337777044">
    <w:abstractNumId w:val="0"/>
  </w:num>
  <w:num w:numId="12" w16cid:durableId="531264567">
    <w:abstractNumId w:val="1"/>
  </w:num>
  <w:num w:numId="13" w16cid:durableId="21173198">
    <w:abstractNumId w:val="9"/>
  </w:num>
  <w:num w:numId="14" w16cid:durableId="72436772">
    <w:abstractNumId w:val="4"/>
  </w:num>
  <w:num w:numId="15" w16cid:durableId="1061909130">
    <w:abstractNumId w:val="13"/>
  </w:num>
  <w:num w:numId="16" w16cid:durableId="1605845011">
    <w:abstractNumId w:val="3"/>
  </w:num>
  <w:num w:numId="17" w16cid:durableId="3965908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BB6"/>
    <w:rsid w:val="00060BDF"/>
    <w:rsid w:val="00155E50"/>
    <w:rsid w:val="001C1A60"/>
    <w:rsid w:val="003A05AD"/>
    <w:rsid w:val="00422EDC"/>
    <w:rsid w:val="007560EB"/>
    <w:rsid w:val="00B73BB6"/>
    <w:rsid w:val="00CE78C5"/>
    <w:rsid w:val="00EA11DD"/>
    <w:rsid w:val="00E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11F789"/>
  <w15:docId w15:val="{11D28E6A-F87C-497D-AE23-B2D0357B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C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annotation text"/>
    <w:basedOn w:val="a"/>
    <w:link w:val="a7"/>
    <w:uiPriority w:val="99"/>
    <w:semiHidden/>
    <w:unhideWhenUsed/>
  </w:style>
  <w:style w:type="character" w:customStyle="1" w:styleId="a7">
    <w:name w:val="批注文字 字符"/>
    <w:basedOn w:val="a0"/>
    <w:link w:val="a6"/>
    <w:uiPriority w:val="99"/>
    <w:semiHidden/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9">
    <w:name w:val="header"/>
    <w:basedOn w:val="a"/>
    <w:link w:val="aa"/>
    <w:uiPriority w:val="99"/>
    <w:unhideWhenUsed/>
    <w:rsid w:val="00EF56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EF56FA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EF56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EF56FA"/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rsid w:val="001C1A60"/>
  </w:style>
  <w:style w:type="paragraph" w:styleId="TOC2">
    <w:name w:val="toc 2"/>
    <w:basedOn w:val="a"/>
    <w:next w:val="a"/>
    <w:autoRedefine/>
    <w:uiPriority w:val="39"/>
    <w:unhideWhenUsed/>
    <w:rsid w:val="001C1A60"/>
    <w:pPr>
      <w:ind w:leftChars="200" w:left="420"/>
    </w:pPr>
  </w:style>
  <w:style w:type="character" w:styleId="ad">
    <w:name w:val="Hyperlink"/>
    <w:basedOn w:val="a0"/>
    <w:uiPriority w:val="99"/>
    <w:unhideWhenUsed/>
    <w:rsid w:val="001C1A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959</Words>
  <Characters>5468</Characters>
  <Application>Microsoft Office Word</Application>
  <DocSecurity>0</DocSecurity>
  <Lines>45</Lines>
  <Paragraphs>12</Paragraphs>
  <ScaleCrop>false</ScaleCrop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 F</cp:lastModifiedBy>
  <cp:revision>7</cp:revision>
  <dcterms:created xsi:type="dcterms:W3CDTF">2022-03-16T05:55:00Z</dcterms:created>
  <dcterms:modified xsi:type="dcterms:W3CDTF">2022-06-15T02:30:00Z</dcterms:modified>
</cp:coreProperties>
</file>