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7326B" w14:textId="713D5A75" w:rsidR="007E0E62" w:rsidRPr="006C3298" w:rsidRDefault="00CA5487">
      <w:pPr>
        <w:spacing w:line="360" w:lineRule="auto"/>
        <w:rPr>
          <w:rFonts w:ascii="文泉驿微米黑" w:eastAsia="文泉驿微米黑" w:hAnsi="文泉驿微米黑" w:cs="Helvetica Neue"/>
          <w:sz w:val="28"/>
          <w:szCs w:val="28"/>
          <w:u w:val="single"/>
        </w:rPr>
      </w:pPr>
      <w:r>
        <w:rPr>
          <w:rFonts w:ascii="文泉驿微米黑" w:eastAsia="文泉驿微米黑" w:hAnsi="文泉驿微米黑" w:cs="Helvetica Neue"/>
          <w:noProof/>
          <w:sz w:val="28"/>
          <w:szCs w:val="28"/>
          <w:u w:val="single"/>
        </w:rPr>
        <w:drawing>
          <wp:anchor distT="0" distB="0" distL="114300" distR="114300" simplePos="0" relativeHeight="251658240" behindDoc="0" locked="0" layoutInCell="1" allowOverlap="1" wp14:anchorId="59C41C36" wp14:editId="215D1AF5">
            <wp:simplePos x="0" y="0"/>
            <wp:positionH relativeFrom="page">
              <wp:align>right</wp:align>
            </wp:positionH>
            <wp:positionV relativeFrom="paragraph">
              <wp:posOffset>-914400</wp:posOffset>
            </wp:positionV>
            <wp:extent cx="7550014" cy="10683240"/>
            <wp:effectExtent l="0" t="0" r="0" b="3810"/>
            <wp:wrapNone/>
            <wp:docPr id="753784546" name="图片 1" descr="图形用户界面, 应用程序&#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784546" name="图片 1" descr="图形用户界面, 应用程序&#10;&#10;描述已自动生成"/>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50014" cy="10683240"/>
                    </a:xfrm>
                    <a:prstGeom prst="rect">
                      <a:avLst/>
                    </a:prstGeom>
                  </pic:spPr>
                </pic:pic>
              </a:graphicData>
            </a:graphic>
            <wp14:sizeRelH relativeFrom="margin">
              <wp14:pctWidth>0</wp14:pctWidth>
            </wp14:sizeRelH>
            <wp14:sizeRelV relativeFrom="margin">
              <wp14:pctHeight>0</wp14:pctHeight>
            </wp14:sizeRelV>
          </wp:anchor>
        </w:drawing>
      </w:r>
    </w:p>
    <w:p w14:paraId="38763A44" w14:textId="77777777" w:rsidR="007E0E62" w:rsidRPr="006C3298" w:rsidRDefault="007E0E62">
      <w:pPr>
        <w:pStyle w:val="a3"/>
        <w:spacing w:line="360" w:lineRule="auto"/>
        <w:rPr>
          <w:rFonts w:ascii="文泉驿微米黑" w:eastAsia="文泉驿微米黑" w:hAnsi="文泉驿微米黑" w:cs="Helvetica Neue"/>
        </w:rPr>
      </w:pPr>
      <w:bookmarkStart w:id="0" w:name="_k6244wyqv0dj" w:colFirst="0" w:colLast="0"/>
      <w:bookmarkEnd w:id="0"/>
    </w:p>
    <w:p w14:paraId="2AA6253C" w14:textId="77777777" w:rsidR="007E0E62" w:rsidRPr="006C3298" w:rsidRDefault="007E0E62">
      <w:pPr>
        <w:spacing w:line="360" w:lineRule="auto"/>
        <w:rPr>
          <w:rFonts w:ascii="文泉驿微米黑" w:eastAsia="文泉驿微米黑" w:hAnsi="文泉驿微米黑" w:cs="Helvetica Neue"/>
        </w:rPr>
      </w:pPr>
    </w:p>
    <w:p w14:paraId="42EF432B" w14:textId="77777777" w:rsidR="007E0E62" w:rsidRPr="006C3298" w:rsidRDefault="007E0E62">
      <w:pPr>
        <w:spacing w:line="360" w:lineRule="auto"/>
        <w:rPr>
          <w:rFonts w:ascii="文泉驿微米黑" w:eastAsia="文泉驿微米黑" w:hAnsi="文泉驿微米黑" w:cs="Helvetica Neue"/>
        </w:rPr>
      </w:pPr>
    </w:p>
    <w:p w14:paraId="6FF09053" w14:textId="588E1751" w:rsidR="007E0E62" w:rsidRPr="006C3298" w:rsidRDefault="007E0E62">
      <w:pPr>
        <w:spacing w:line="360" w:lineRule="auto"/>
        <w:rPr>
          <w:rFonts w:ascii="文泉驿微米黑" w:eastAsia="文泉驿微米黑" w:hAnsi="文泉驿微米黑" w:cs="Helvetica Neue"/>
        </w:rPr>
      </w:pPr>
    </w:p>
    <w:p w14:paraId="65F32D8C" w14:textId="58066B91" w:rsidR="007E0E62" w:rsidRPr="006C3298" w:rsidRDefault="007E0E62">
      <w:pPr>
        <w:spacing w:line="360" w:lineRule="auto"/>
        <w:ind w:left="2880" w:firstLine="720"/>
        <w:rPr>
          <w:rFonts w:ascii="文泉驿微米黑" w:eastAsia="文泉驿微米黑" w:hAnsi="文泉驿微米黑" w:cs="Helvetica Neue"/>
        </w:rPr>
      </w:pPr>
    </w:p>
    <w:p w14:paraId="3D27386A" w14:textId="77777777" w:rsidR="007E0E62" w:rsidRPr="006C3298" w:rsidRDefault="00571458">
      <w:pPr>
        <w:spacing w:line="360" w:lineRule="auto"/>
        <w:rPr>
          <w:rFonts w:ascii="文泉驿微米黑" w:eastAsia="文泉驿微米黑" w:hAnsi="文泉驿微米黑" w:cs="Helvetica Neue"/>
        </w:rPr>
      </w:pPr>
      <w:r w:rsidRPr="006C3298">
        <w:rPr>
          <w:rFonts w:ascii="文泉驿微米黑" w:eastAsia="文泉驿微米黑" w:hAnsi="文泉驿微米黑"/>
        </w:rPr>
        <w:br w:type="page"/>
      </w:r>
    </w:p>
    <w:p w14:paraId="24AC0B35" w14:textId="77777777" w:rsidR="007E0E62" w:rsidRPr="00346E36" w:rsidRDefault="00571458" w:rsidP="00346E36">
      <w:pPr>
        <w:jc w:val="center"/>
        <w:rPr>
          <w:rFonts w:ascii="文泉驿微米黑" w:eastAsia="文泉驿微米黑" w:hAnsi="文泉驿微米黑"/>
          <w:sz w:val="40"/>
          <w:szCs w:val="40"/>
        </w:rPr>
      </w:pPr>
      <w:r w:rsidRPr="00346E36">
        <w:rPr>
          <w:rFonts w:ascii="文泉驿微米黑" w:eastAsia="文泉驿微米黑" w:hAnsi="文泉驿微米黑"/>
          <w:sz w:val="40"/>
          <w:szCs w:val="40"/>
        </w:rPr>
        <w:lastRenderedPageBreak/>
        <w:t>法律声明</w:t>
      </w:r>
    </w:p>
    <w:p w14:paraId="7736BBC7"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PingCAP 提醒您在阅读或使用本文档之前仔细阅读、充分理解本法律声明各条款的内容。如果您阅读或使用本文档，您的阅读或使用行为将被视为对本声明全部内容的认可。</w:t>
      </w:r>
    </w:p>
    <w:p w14:paraId="09CEC518"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1. 您应当通过 PingCAP 网站或 PingCAP 提供的其他授权通道下载、获取本文档，且仅能用于自身的合法合</w:t>
      </w:r>
      <w:proofErr w:type="gramStart"/>
      <w:r w:rsidRPr="006C3298">
        <w:rPr>
          <w:rFonts w:ascii="文泉驿微米黑" w:eastAsia="文泉驿微米黑" w:hAnsi="文泉驿微米黑" w:cs="Arial Unicode MS"/>
          <w:sz w:val="20"/>
          <w:szCs w:val="20"/>
        </w:rPr>
        <w:t>规</w:t>
      </w:r>
      <w:proofErr w:type="gramEnd"/>
      <w:r w:rsidRPr="006C3298">
        <w:rPr>
          <w:rFonts w:ascii="文泉驿微米黑" w:eastAsia="文泉驿微米黑" w:hAnsi="文泉驿微米黑" w:cs="Arial Unicode MS"/>
          <w:sz w:val="20"/>
          <w:szCs w:val="20"/>
        </w:rPr>
        <w:t>的业务活动。本文档的内容视为 PingCAP 的保密信息，您应当严格遵守保密义务；未经 PingCAP 事先书面同意，</w:t>
      </w:r>
      <w:proofErr w:type="gramStart"/>
      <w:r w:rsidRPr="006C3298">
        <w:rPr>
          <w:rFonts w:ascii="文泉驿微米黑" w:eastAsia="文泉驿微米黑" w:hAnsi="文泉驿微米黑" w:cs="Arial Unicode MS"/>
          <w:sz w:val="20"/>
          <w:szCs w:val="20"/>
        </w:rPr>
        <w:t>您不得</w:t>
      </w:r>
      <w:proofErr w:type="gramEnd"/>
      <w:r w:rsidRPr="006C3298">
        <w:rPr>
          <w:rFonts w:ascii="文泉驿微米黑" w:eastAsia="文泉驿微米黑" w:hAnsi="文泉驿微米黑" w:cs="Arial Unicode MS"/>
          <w:sz w:val="20"/>
          <w:szCs w:val="20"/>
        </w:rPr>
        <w:t>向任何第三方披露本手册内容或提供给任何第三方使用。</w:t>
      </w:r>
    </w:p>
    <w:p w14:paraId="5C6BF0AD"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2. 未经 PingCAP 事先书面许可，任何单位、公司或个人不得擅自摘抄、翻译、复制本文档内容的部分或全部，不得以任何方式或途径进行传播和宣传。</w:t>
      </w:r>
    </w:p>
    <w:p w14:paraId="33FCF736"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3. 由于产品版本升级、调整或其他原因，本文档内容有可能变更。PingCAP 保留在没有任何通知或者提示下对本文档的内容进行修改的权利，并在 PingCAP 授权通道中不时发布更新后的用户文档。您应当实时关注用户文档的版本变更并通过 PingCAP 网站或 PingCAP 授权渠道下载、获取最新版的用户文档。</w:t>
      </w:r>
    </w:p>
    <w:p w14:paraId="0AA4AEB5"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4. 本文档仅作为用户使用 PingCAP 产品及服务的参考性指引，PingCAP 以产品及服务的“现状”、“有缺陷”和“当前功能”的状态提供本文档。PingCAP 在现有技术的基础上尽最大努力提供相应的介绍及操作指引，但 PingCAP 在此明确声明对本文档内容的准确性、完整性、适用性、可靠性等不作任何明示或暗示的保证，本文档所引用的性能数据和程序示例仅用于说明目的，实际的性能结果可能因特定配置和操作条件而异。任何单位、公司或个人因为下载、使用或信赖本文档而发生任何差错或经济损失的， PingCAP 不承担任何法律责任。在任何情况下，PingCAP 均不对任何间接性、后果性、惩戒性、偶然性、特殊性或刑罚性的损害，包括用户使用或信赖本文档而遭受的利润损失，承担责任（即使 PingCAP 已被告知该等损失的可能性）。</w:t>
      </w:r>
    </w:p>
    <w:p w14:paraId="6ACF124B"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5. 本文档中及PingCAP 网站上所有内容，包括但不限于作品、产品、图片、档案、资讯、资料、网站架构、网站画面的安排、网页设计等，均由 PingCAP 和/或其关联公司依法拥有其知识产权，包括但不限于商标权、专利权、著作权、商业秘密等。非经 PingCAP 和/或其关联公司书面同意，任何人不得擅自使用、修改、复制、公开传播、改变、散布、发行或公开发表 PingCAP 网站、产品程序或包括本文档在内的内容。此外，未经 PingCAP 事先书面同意，任何人不得以任何目的使用 PingCAP 商标（包括但不限于单独为或以组合形式包含“PingCAP”等 PingCAP 和/或其关联公司品牌，上述品牌的附属标志</w:t>
      </w:r>
      <w:r w:rsidRPr="006C3298">
        <w:rPr>
          <w:rFonts w:ascii="文泉驿微米黑" w:eastAsia="文泉驿微米黑" w:hAnsi="文泉驿微米黑" w:cs="Arial Unicode MS"/>
          <w:sz w:val="20"/>
          <w:szCs w:val="20"/>
        </w:rPr>
        <w:lastRenderedPageBreak/>
        <w:t>及图案或任何类似公司名称、商号、商标、产品或服务名称、域名、图案标示、标志、标识或通过特定描述使第三方能够识别 PingCAP 和/或其关联公司）。</w:t>
      </w:r>
    </w:p>
    <w:p w14:paraId="24FDBE76"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6. PingCAP 可能拥有涵盖本文档中描述的主题的专利或者专利申请，未经 PingCAP 事先书面许可，本文档并不授予您关于这些专利或专利申请的任何许可。</w:t>
      </w:r>
    </w:p>
    <w:p w14:paraId="3580680B" w14:textId="77777777" w:rsidR="007E0E62" w:rsidRPr="006C3298" w:rsidRDefault="00571458">
      <w:pPr>
        <w:spacing w:before="240" w:after="240" w:line="360" w:lineRule="auto"/>
        <w:rPr>
          <w:rFonts w:ascii="文泉驿微米黑" w:eastAsia="文泉驿微米黑" w:hAnsi="文泉驿微米黑" w:cs="Helvetica Neue"/>
          <w:sz w:val="20"/>
          <w:szCs w:val="20"/>
        </w:rPr>
      </w:pPr>
      <w:r w:rsidRPr="006C3298">
        <w:rPr>
          <w:rFonts w:ascii="文泉驿微米黑" w:eastAsia="文泉驿微米黑" w:hAnsi="文泉驿微米黑" w:cs="Arial Unicode MS"/>
          <w:sz w:val="20"/>
          <w:szCs w:val="20"/>
        </w:rPr>
        <w:t>7. 本文档中如有关于 PingCAP 未来方向或意图的声明，仅表示目标或者目的， 如有更改或撤销，恕不另行通知。</w:t>
      </w:r>
    </w:p>
    <w:p w14:paraId="1A244A29" w14:textId="77777777" w:rsidR="007E0E62" w:rsidRPr="006C3298" w:rsidRDefault="00571458">
      <w:pPr>
        <w:spacing w:before="240" w:after="240" w:line="360" w:lineRule="auto"/>
        <w:rPr>
          <w:rFonts w:ascii="文泉驿微米黑" w:eastAsia="文泉驿微米黑" w:hAnsi="文泉驿微米黑" w:cs="Helvetica Neue"/>
          <w:sz w:val="20"/>
          <w:szCs w:val="20"/>
        </w:rPr>
        <w:sectPr w:rsidR="007E0E62" w:rsidRPr="006C3298">
          <w:headerReference w:type="default" r:id="rId8"/>
          <w:footerReference w:type="default" r:id="rId9"/>
          <w:headerReference w:type="first" r:id="rId10"/>
          <w:pgSz w:w="11909" w:h="16834"/>
          <w:pgMar w:top="1440" w:right="1440" w:bottom="1440" w:left="1440" w:header="720" w:footer="720" w:gutter="0"/>
          <w:pgNumType w:start="3"/>
          <w:cols w:space="720"/>
        </w:sectPr>
      </w:pPr>
      <w:r w:rsidRPr="006C3298">
        <w:rPr>
          <w:rFonts w:ascii="文泉驿微米黑" w:eastAsia="文泉驿微米黑" w:hAnsi="文泉驿微米黑" w:cs="Arial Unicode MS"/>
          <w:sz w:val="20"/>
          <w:szCs w:val="20"/>
        </w:rPr>
        <w:t>8. 如若发现本文档存在任何错误，请与 PingCAP 取得直接联系。PingCAP 可能会以它认为合适的任何方式使用或分发您提供的任何信息，而无需对</w:t>
      </w:r>
      <w:proofErr w:type="gramStart"/>
      <w:r w:rsidRPr="006C3298">
        <w:rPr>
          <w:rFonts w:ascii="文泉驿微米黑" w:eastAsia="文泉驿微米黑" w:hAnsi="文泉驿微米黑" w:cs="Arial Unicode MS"/>
          <w:sz w:val="20"/>
          <w:szCs w:val="20"/>
        </w:rPr>
        <w:t>您承担</w:t>
      </w:r>
      <w:proofErr w:type="gramEnd"/>
      <w:r w:rsidRPr="006C3298">
        <w:rPr>
          <w:rFonts w:ascii="文泉驿微米黑" w:eastAsia="文泉驿微米黑" w:hAnsi="文泉驿微米黑" w:cs="Arial Unicode MS"/>
          <w:sz w:val="20"/>
          <w:szCs w:val="20"/>
        </w:rPr>
        <w:t>任何义务。</w:t>
      </w:r>
    </w:p>
    <w:p w14:paraId="7D3DCA67" w14:textId="77777777" w:rsidR="007E0E62" w:rsidRPr="00346E36" w:rsidRDefault="00571458" w:rsidP="00346E36">
      <w:pPr>
        <w:jc w:val="center"/>
        <w:rPr>
          <w:rFonts w:ascii="文泉驿微米黑" w:eastAsia="文泉驿微米黑" w:hAnsi="文泉驿微米黑"/>
          <w:sz w:val="40"/>
          <w:szCs w:val="40"/>
        </w:rPr>
      </w:pPr>
      <w:r w:rsidRPr="00346E36">
        <w:rPr>
          <w:rFonts w:ascii="文泉驿微米黑" w:eastAsia="文泉驿微米黑" w:hAnsi="文泉驿微米黑"/>
          <w:sz w:val="40"/>
          <w:szCs w:val="40"/>
        </w:rPr>
        <w:lastRenderedPageBreak/>
        <w:t>目 录</w:t>
      </w:r>
    </w:p>
    <w:p w14:paraId="468AC482" w14:textId="77777777" w:rsidR="007E0E62" w:rsidRPr="006C3298" w:rsidRDefault="007E0E62">
      <w:pPr>
        <w:jc w:val="center"/>
        <w:rPr>
          <w:rFonts w:ascii="文泉驿微米黑" w:eastAsia="文泉驿微米黑" w:hAnsi="文泉驿微米黑" w:cs="Helvetica Neue"/>
          <w:sz w:val="32"/>
          <w:szCs w:val="32"/>
        </w:rPr>
      </w:pPr>
    </w:p>
    <w:sdt>
      <w:sdtPr>
        <w:rPr>
          <w:rFonts w:ascii="文泉驿微米黑" w:eastAsia="文泉驿微米黑" w:hAnsi="文泉驿微米黑"/>
        </w:rPr>
        <w:id w:val="-1069335445"/>
        <w:docPartObj>
          <w:docPartGallery w:val="Table of Contents"/>
          <w:docPartUnique/>
        </w:docPartObj>
      </w:sdtPr>
      <w:sdtContent>
        <w:p w14:paraId="13B81573" w14:textId="77524692" w:rsidR="007C4B70" w:rsidRDefault="00571458">
          <w:pPr>
            <w:pStyle w:val="TOC1"/>
            <w:tabs>
              <w:tab w:val="right" w:pos="9019"/>
            </w:tabs>
            <w:rPr>
              <w:rFonts w:asciiTheme="minorHAnsi" w:hAnsiTheme="minorHAnsi" w:cstheme="minorBidi"/>
              <w:noProof/>
              <w:kern w:val="2"/>
              <w:sz w:val="21"/>
              <w:lang w:val="en-US"/>
            </w:rPr>
          </w:pPr>
          <w:r w:rsidRPr="006C3298">
            <w:rPr>
              <w:rFonts w:ascii="文泉驿微米黑" w:eastAsia="文泉驿微米黑" w:hAnsi="文泉驿微米黑"/>
            </w:rPr>
            <w:fldChar w:fldCharType="begin"/>
          </w:r>
          <w:r w:rsidRPr="006C3298">
            <w:rPr>
              <w:rFonts w:ascii="文泉驿微米黑" w:eastAsia="文泉驿微米黑" w:hAnsi="文泉驿微米黑"/>
            </w:rPr>
            <w:instrText xml:space="preserve"> TOC \h \u \z </w:instrText>
          </w:r>
          <w:r w:rsidRPr="006C3298">
            <w:rPr>
              <w:rFonts w:ascii="文泉驿微米黑" w:eastAsia="文泉驿微米黑" w:hAnsi="文泉驿微米黑"/>
            </w:rPr>
            <w:fldChar w:fldCharType="separate"/>
          </w:r>
          <w:hyperlink w:anchor="_Toc98332888" w:history="1">
            <w:r w:rsidR="007C4B70" w:rsidRPr="005F79D4">
              <w:rPr>
                <w:rStyle w:val="ac"/>
                <w:rFonts w:ascii="文泉驿微米黑" w:eastAsia="文泉驿微米黑" w:hAnsi="文泉驿微米黑" w:cs="Arial Unicode MS"/>
                <w:b/>
                <w:noProof/>
              </w:rPr>
              <w:t>TiDB 简介</w:t>
            </w:r>
            <w:r w:rsidR="007C4B70">
              <w:rPr>
                <w:noProof/>
                <w:webHidden/>
              </w:rPr>
              <w:tab/>
            </w:r>
            <w:r w:rsidR="007C4B70">
              <w:rPr>
                <w:noProof/>
                <w:webHidden/>
              </w:rPr>
              <w:fldChar w:fldCharType="begin"/>
            </w:r>
            <w:r w:rsidR="007C4B70">
              <w:rPr>
                <w:noProof/>
                <w:webHidden/>
              </w:rPr>
              <w:instrText xml:space="preserve"> PAGEREF _Toc98332888 \h </w:instrText>
            </w:r>
            <w:r w:rsidR="007C4B70">
              <w:rPr>
                <w:noProof/>
                <w:webHidden/>
              </w:rPr>
            </w:r>
            <w:r w:rsidR="007C4B70">
              <w:rPr>
                <w:noProof/>
                <w:webHidden/>
              </w:rPr>
              <w:fldChar w:fldCharType="separate"/>
            </w:r>
            <w:r w:rsidR="007C4B70">
              <w:rPr>
                <w:noProof/>
                <w:webHidden/>
              </w:rPr>
              <w:t>7</w:t>
            </w:r>
            <w:r w:rsidR="007C4B70">
              <w:rPr>
                <w:noProof/>
                <w:webHidden/>
              </w:rPr>
              <w:fldChar w:fldCharType="end"/>
            </w:r>
          </w:hyperlink>
        </w:p>
        <w:p w14:paraId="181B9773" w14:textId="3EBAA090" w:rsidR="007C4B70" w:rsidRDefault="00000000">
          <w:pPr>
            <w:pStyle w:val="TOC1"/>
            <w:tabs>
              <w:tab w:val="right" w:pos="9019"/>
            </w:tabs>
            <w:rPr>
              <w:rFonts w:asciiTheme="minorHAnsi" w:hAnsiTheme="minorHAnsi" w:cstheme="minorBidi"/>
              <w:noProof/>
              <w:kern w:val="2"/>
              <w:sz w:val="21"/>
              <w:lang w:val="en-US"/>
            </w:rPr>
          </w:pPr>
          <w:hyperlink w:anchor="_Toc98332889" w:history="1">
            <w:r w:rsidR="007C4B70" w:rsidRPr="005F79D4">
              <w:rPr>
                <w:rStyle w:val="ac"/>
                <w:rFonts w:ascii="文泉驿微米黑" w:eastAsia="文泉驿微米黑" w:hAnsi="文泉驿微米黑" w:cs="Arial Unicode MS"/>
                <w:b/>
                <w:noProof/>
              </w:rPr>
              <w:t>技术优势</w:t>
            </w:r>
            <w:r w:rsidR="007C4B70">
              <w:rPr>
                <w:noProof/>
                <w:webHidden/>
              </w:rPr>
              <w:tab/>
            </w:r>
            <w:r w:rsidR="007C4B70">
              <w:rPr>
                <w:noProof/>
                <w:webHidden/>
              </w:rPr>
              <w:fldChar w:fldCharType="begin"/>
            </w:r>
            <w:r w:rsidR="007C4B70">
              <w:rPr>
                <w:noProof/>
                <w:webHidden/>
              </w:rPr>
              <w:instrText xml:space="preserve"> PAGEREF _Toc98332889 \h </w:instrText>
            </w:r>
            <w:r w:rsidR="007C4B70">
              <w:rPr>
                <w:noProof/>
                <w:webHidden/>
              </w:rPr>
            </w:r>
            <w:r w:rsidR="007C4B70">
              <w:rPr>
                <w:noProof/>
                <w:webHidden/>
              </w:rPr>
              <w:fldChar w:fldCharType="separate"/>
            </w:r>
            <w:r w:rsidR="007C4B70">
              <w:rPr>
                <w:noProof/>
                <w:webHidden/>
              </w:rPr>
              <w:t>8</w:t>
            </w:r>
            <w:r w:rsidR="007C4B70">
              <w:rPr>
                <w:noProof/>
                <w:webHidden/>
              </w:rPr>
              <w:fldChar w:fldCharType="end"/>
            </w:r>
          </w:hyperlink>
        </w:p>
        <w:p w14:paraId="758DD2DE" w14:textId="3D9ED475" w:rsidR="007C4B70" w:rsidRDefault="00000000">
          <w:pPr>
            <w:pStyle w:val="TOC1"/>
            <w:tabs>
              <w:tab w:val="right" w:pos="9019"/>
            </w:tabs>
            <w:rPr>
              <w:rFonts w:asciiTheme="minorHAnsi" w:hAnsiTheme="minorHAnsi" w:cstheme="minorBidi"/>
              <w:noProof/>
              <w:kern w:val="2"/>
              <w:sz w:val="21"/>
              <w:lang w:val="en-US"/>
            </w:rPr>
          </w:pPr>
          <w:hyperlink w:anchor="_Toc98332890" w:history="1">
            <w:r w:rsidR="007C4B70" w:rsidRPr="005F79D4">
              <w:rPr>
                <w:rStyle w:val="ac"/>
                <w:rFonts w:ascii="文泉驿微米黑" w:eastAsia="文泉驿微米黑" w:hAnsi="文泉驿微米黑" w:cs="Arial Unicode MS"/>
                <w:b/>
                <w:noProof/>
              </w:rPr>
              <w:t>产品架构</w:t>
            </w:r>
            <w:r w:rsidR="007C4B70">
              <w:rPr>
                <w:noProof/>
                <w:webHidden/>
              </w:rPr>
              <w:tab/>
            </w:r>
            <w:r w:rsidR="007C4B70">
              <w:rPr>
                <w:noProof/>
                <w:webHidden/>
              </w:rPr>
              <w:fldChar w:fldCharType="begin"/>
            </w:r>
            <w:r w:rsidR="007C4B70">
              <w:rPr>
                <w:noProof/>
                <w:webHidden/>
              </w:rPr>
              <w:instrText xml:space="preserve"> PAGEREF _Toc98332890 \h </w:instrText>
            </w:r>
            <w:r w:rsidR="007C4B70">
              <w:rPr>
                <w:noProof/>
                <w:webHidden/>
              </w:rPr>
            </w:r>
            <w:r w:rsidR="007C4B70">
              <w:rPr>
                <w:noProof/>
                <w:webHidden/>
              </w:rPr>
              <w:fldChar w:fldCharType="separate"/>
            </w:r>
            <w:r w:rsidR="007C4B70">
              <w:rPr>
                <w:noProof/>
                <w:webHidden/>
              </w:rPr>
              <w:t>9</w:t>
            </w:r>
            <w:r w:rsidR="007C4B70">
              <w:rPr>
                <w:noProof/>
                <w:webHidden/>
              </w:rPr>
              <w:fldChar w:fldCharType="end"/>
            </w:r>
          </w:hyperlink>
        </w:p>
        <w:p w14:paraId="5CDF8269" w14:textId="6A9BC26C" w:rsidR="007C4B70" w:rsidRDefault="00000000">
          <w:pPr>
            <w:pStyle w:val="TOC2"/>
            <w:tabs>
              <w:tab w:val="right" w:pos="9019"/>
            </w:tabs>
            <w:ind w:left="440"/>
            <w:rPr>
              <w:rFonts w:asciiTheme="minorHAnsi" w:hAnsiTheme="minorHAnsi" w:cstheme="minorBidi"/>
              <w:noProof/>
              <w:kern w:val="2"/>
              <w:sz w:val="21"/>
              <w:lang w:val="en-US"/>
            </w:rPr>
          </w:pPr>
          <w:hyperlink w:anchor="_Toc98332891" w:history="1">
            <w:r w:rsidR="007C4B70" w:rsidRPr="005F79D4">
              <w:rPr>
                <w:rStyle w:val="ac"/>
                <w:rFonts w:ascii="文泉驿微米黑" w:eastAsia="文泉驿微米黑" w:hAnsi="文泉驿微米黑" w:cs="Arial Unicode MS"/>
                <w:noProof/>
              </w:rPr>
              <w:t>分布式数据库计算层</w:t>
            </w:r>
            <w:r w:rsidR="007C4B70">
              <w:rPr>
                <w:noProof/>
                <w:webHidden/>
              </w:rPr>
              <w:tab/>
            </w:r>
            <w:r w:rsidR="007C4B70">
              <w:rPr>
                <w:noProof/>
                <w:webHidden/>
              </w:rPr>
              <w:fldChar w:fldCharType="begin"/>
            </w:r>
            <w:r w:rsidR="007C4B70">
              <w:rPr>
                <w:noProof/>
                <w:webHidden/>
              </w:rPr>
              <w:instrText xml:space="preserve"> PAGEREF _Toc98332891 \h </w:instrText>
            </w:r>
            <w:r w:rsidR="007C4B70">
              <w:rPr>
                <w:noProof/>
                <w:webHidden/>
              </w:rPr>
            </w:r>
            <w:r w:rsidR="007C4B70">
              <w:rPr>
                <w:noProof/>
                <w:webHidden/>
              </w:rPr>
              <w:fldChar w:fldCharType="separate"/>
            </w:r>
            <w:r w:rsidR="007C4B70">
              <w:rPr>
                <w:noProof/>
                <w:webHidden/>
              </w:rPr>
              <w:t>9</w:t>
            </w:r>
            <w:r w:rsidR="007C4B70">
              <w:rPr>
                <w:noProof/>
                <w:webHidden/>
              </w:rPr>
              <w:fldChar w:fldCharType="end"/>
            </w:r>
          </w:hyperlink>
        </w:p>
        <w:p w14:paraId="059AE86A" w14:textId="4CE46513" w:rsidR="007C4B70" w:rsidRDefault="00000000">
          <w:pPr>
            <w:pStyle w:val="TOC2"/>
            <w:tabs>
              <w:tab w:val="right" w:pos="9019"/>
            </w:tabs>
            <w:ind w:left="440"/>
            <w:rPr>
              <w:rFonts w:asciiTheme="minorHAnsi" w:hAnsiTheme="minorHAnsi" w:cstheme="minorBidi"/>
              <w:noProof/>
              <w:kern w:val="2"/>
              <w:sz w:val="21"/>
              <w:lang w:val="en-US"/>
            </w:rPr>
          </w:pPr>
          <w:hyperlink w:anchor="_Toc98332892" w:history="1">
            <w:r w:rsidR="007C4B70" w:rsidRPr="005F79D4">
              <w:rPr>
                <w:rStyle w:val="ac"/>
                <w:rFonts w:ascii="文泉驿微米黑" w:eastAsia="文泉驿微米黑" w:hAnsi="文泉驿微米黑" w:cs="Arial Unicode MS"/>
                <w:noProof/>
              </w:rPr>
              <w:t>分布式数据库存储层</w:t>
            </w:r>
            <w:r w:rsidR="007C4B70">
              <w:rPr>
                <w:noProof/>
                <w:webHidden/>
              </w:rPr>
              <w:tab/>
            </w:r>
            <w:r w:rsidR="007C4B70">
              <w:rPr>
                <w:noProof/>
                <w:webHidden/>
              </w:rPr>
              <w:fldChar w:fldCharType="begin"/>
            </w:r>
            <w:r w:rsidR="007C4B70">
              <w:rPr>
                <w:noProof/>
                <w:webHidden/>
              </w:rPr>
              <w:instrText xml:space="preserve"> PAGEREF _Toc98332892 \h </w:instrText>
            </w:r>
            <w:r w:rsidR="007C4B70">
              <w:rPr>
                <w:noProof/>
                <w:webHidden/>
              </w:rPr>
            </w:r>
            <w:r w:rsidR="007C4B70">
              <w:rPr>
                <w:noProof/>
                <w:webHidden/>
              </w:rPr>
              <w:fldChar w:fldCharType="separate"/>
            </w:r>
            <w:r w:rsidR="007C4B70">
              <w:rPr>
                <w:noProof/>
                <w:webHidden/>
              </w:rPr>
              <w:t>11</w:t>
            </w:r>
            <w:r w:rsidR="007C4B70">
              <w:rPr>
                <w:noProof/>
                <w:webHidden/>
              </w:rPr>
              <w:fldChar w:fldCharType="end"/>
            </w:r>
          </w:hyperlink>
        </w:p>
        <w:p w14:paraId="22D2DE10" w14:textId="352BCE8A" w:rsidR="007C4B70" w:rsidRDefault="00000000">
          <w:pPr>
            <w:pStyle w:val="TOC2"/>
            <w:tabs>
              <w:tab w:val="right" w:pos="9019"/>
            </w:tabs>
            <w:ind w:left="440"/>
            <w:rPr>
              <w:rFonts w:asciiTheme="minorHAnsi" w:hAnsiTheme="minorHAnsi" w:cstheme="minorBidi"/>
              <w:noProof/>
              <w:kern w:val="2"/>
              <w:sz w:val="21"/>
              <w:lang w:val="en-US"/>
            </w:rPr>
          </w:pPr>
          <w:hyperlink w:anchor="_Toc98332893" w:history="1">
            <w:r w:rsidR="007C4B70" w:rsidRPr="005F79D4">
              <w:rPr>
                <w:rStyle w:val="ac"/>
                <w:rFonts w:ascii="文泉驿微米黑" w:eastAsia="文泉驿微米黑" w:hAnsi="文泉驿微米黑" w:cs="Arial Unicode MS"/>
                <w:noProof/>
              </w:rPr>
              <w:t>分布式数据库调度层</w:t>
            </w:r>
            <w:r w:rsidR="007C4B70">
              <w:rPr>
                <w:noProof/>
                <w:webHidden/>
              </w:rPr>
              <w:tab/>
            </w:r>
            <w:r w:rsidR="007C4B70">
              <w:rPr>
                <w:noProof/>
                <w:webHidden/>
              </w:rPr>
              <w:fldChar w:fldCharType="begin"/>
            </w:r>
            <w:r w:rsidR="007C4B70">
              <w:rPr>
                <w:noProof/>
                <w:webHidden/>
              </w:rPr>
              <w:instrText xml:space="preserve"> PAGEREF _Toc98332893 \h </w:instrText>
            </w:r>
            <w:r w:rsidR="007C4B70">
              <w:rPr>
                <w:noProof/>
                <w:webHidden/>
              </w:rPr>
            </w:r>
            <w:r w:rsidR="007C4B70">
              <w:rPr>
                <w:noProof/>
                <w:webHidden/>
              </w:rPr>
              <w:fldChar w:fldCharType="separate"/>
            </w:r>
            <w:r w:rsidR="007C4B70">
              <w:rPr>
                <w:noProof/>
                <w:webHidden/>
              </w:rPr>
              <w:t>12</w:t>
            </w:r>
            <w:r w:rsidR="007C4B70">
              <w:rPr>
                <w:noProof/>
                <w:webHidden/>
              </w:rPr>
              <w:fldChar w:fldCharType="end"/>
            </w:r>
          </w:hyperlink>
        </w:p>
        <w:p w14:paraId="0E9DBE18" w14:textId="6078A312" w:rsidR="007C4B70" w:rsidRDefault="00000000">
          <w:pPr>
            <w:pStyle w:val="TOC2"/>
            <w:tabs>
              <w:tab w:val="right" w:pos="9019"/>
            </w:tabs>
            <w:ind w:left="440"/>
            <w:rPr>
              <w:rFonts w:asciiTheme="minorHAnsi" w:hAnsiTheme="minorHAnsi" w:cstheme="minorBidi"/>
              <w:noProof/>
              <w:kern w:val="2"/>
              <w:sz w:val="21"/>
              <w:lang w:val="en-US"/>
            </w:rPr>
          </w:pPr>
          <w:hyperlink w:anchor="_Toc98332894" w:history="1">
            <w:r w:rsidR="007C4B70" w:rsidRPr="005F79D4">
              <w:rPr>
                <w:rStyle w:val="ac"/>
                <w:rFonts w:ascii="文泉驿微米黑" w:eastAsia="文泉驿微米黑" w:hAnsi="文泉驿微米黑" w:cs="Arial Unicode MS"/>
                <w:noProof/>
              </w:rPr>
              <w:t>TiDB HTAP 架构</w:t>
            </w:r>
            <w:r w:rsidR="007C4B70">
              <w:rPr>
                <w:noProof/>
                <w:webHidden/>
              </w:rPr>
              <w:tab/>
            </w:r>
            <w:r w:rsidR="007C4B70">
              <w:rPr>
                <w:noProof/>
                <w:webHidden/>
              </w:rPr>
              <w:fldChar w:fldCharType="begin"/>
            </w:r>
            <w:r w:rsidR="007C4B70">
              <w:rPr>
                <w:noProof/>
                <w:webHidden/>
              </w:rPr>
              <w:instrText xml:space="preserve"> PAGEREF _Toc98332894 \h </w:instrText>
            </w:r>
            <w:r w:rsidR="007C4B70">
              <w:rPr>
                <w:noProof/>
                <w:webHidden/>
              </w:rPr>
            </w:r>
            <w:r w:rsidR="007C4B70">
              <w:rPr>
                <w:noProof/>
                <w:webHidden/>
              </w:rPr>
              <w:fldChar w:fldCharType="separate"/>
            </w:r>
            <w:r w:rsidR="007C4B70">
              <w:rPr>
                <w:noProof/>
                <w:webHidden/>
              </w:rPr>
              <w:t>13</w:t>
            </w:r>
            <w:r w:rsidR="007C4B70">
              <w:rPr>
                <w:noProof/>
                <w:webHidden/>
              </w:rPr>
              <w:fldChar w:fldCharType="end"/>
            </w:r>
          </w:hyperlink>
        </w:p>
        <w:p w14:paraId="54924D9F" w14:textId="21FA6EF1" w:rsidR="007C4B70" w:rsidRDefault="00000000">
          <w:pPr>
            <w:pStyle w:val="TOC1"/>
            <w:tabs>
              <w:tab w:val="right" w:pos="9019"/>
            </w:tabs>
            <w:rPr>
              <w:rFonts w:asciiTheme="minorHAnsi" w:hAnsiTheme="minorHAnsi" w:cstheme="minorBidi"/>
              <w:noProof/>
              <w:kern w:val="2"/>
              <w:sz w:val="21"/>
              <w:lang w:val="en-US"/>
            </w:rPr>
          </w:pPr>
          <w:hyperlink w:anchor="_Toc98332895" w:history="1">
            <w:r w:rsidR="007C4B70" w:rsidRPr="005F79D4">
              <w:rPr>
                <w:rStyle w:val="ac"/>
                <w:rFonts w:ascii="文泉驿微米黑" w:eastAsia="文泉驿微米黑" w:hAnsi="文泉驿微米黑" w:cs="Arial Unicode MS"/>
                <w:b/>
                <w:noProof/>
              </w:rPr>
              <w:t>TiDB 生态工具</w:t>
            </w:r>
            <w:r w:rsidR="007C4B70">
              <w:rPr>
                <w:noProof/>
                <w:webHidden/>
              </w:rPr>
              <w:tab/>
            </w:r>
            <w:r w:rsidR="007C4B70">
              <w:rPr>
                <w:noProof/>
                <w:webHidden/>
              </w:rPr>
              <w:fldChar w:fldCharType="begin"/>
            </w:r>
            <w:r w:rsidR="007C4B70">
              <w:rPr>
                <w:noProof/>
                <w:webHidden/>
              </w:rPr>
              <w:instrText xml:space="preserve"> PAGEREF _Toc98332895 \h </w:instrText>
            </w:r>
            <w:r w:rsidR="007C4B70">
              <w:rPr>
                <w:noProof/>
                <w:webHidden/>
              </w:rPr>
            </w:r>
            <w:r w:rsidR="007C4B70">
              <w:rPr>
                <w:noProof/>
                <w:webHidden/>
              </w:rPr>
              <w:fldChar w:fldCharType="separate"/>
            </w:r>
            <w:r w:rsidR="007C4B70">
              <w:rPr>
                <w:noProof/>
                <w:webHidden/>
              </w:rPr>
              <w:t>14</w:t>
            </w:r>
            <w:r w:rsidR="007C4B70">
              <w:rPr>
                <w:noProof/>
                <w:webHidden/>
              </w:rPr>
              <w:fldChar w:fldCharType="end"/>
            </w:r>
          </w:hyperlink>
        </w:p>
        <w:p w14:paraId="0BB8C1BA" w14:textId="78DE4C22" w:rsidR="007C4B70" w:rsidRDefault="00000000">
          <w:pPr>
            <w:pStyle w:val="TOC2"/>
            <w:tabs>
              <w:tab w:val="right" w:pos="9019"/>
            </w:tabs>
            <w:ind w:left="440"/>
            <w:rPr>
              <w:rFonts w:asciiTheme="minorHAnsi" w:hAnsiTheme="minorHAnsi" w:cstheme="minorBidi"/>
              <w:noProof/>
              <w:kern w:val="2"/>
              <w:sz w:val="21"/>
              <w:lang w:val="en-US"/>
            </w:rPr>
          </w:pPr>
          <w:hyperlink w:anchor="_Toc98332896" w:history="1">
            <w:r w:rsidR="007C4B70" w:rsidRPr="005F79D4">
              <w:rPr>
                <w:rStyle w:val="ac"/>
                <w:rFonts w:ascii="文泉驿微米黑" w:eastAsia="文泉驿微米黑" w:hAnsi="文泉驿微米黑" w:cs="Arial Unicode MS"/>
                <w:noProof/>
              </w:rPr>
              <w:t>数据迁移</w:t>
            </w:r>
            <w:r w:rsidR="007C4B70">
              <w:rPr>
                <w:noProof/>
                <w:webHidden/>
              </w:rPr>
              <w:tab/>
            </w:r>
            <w:r w:rsidR="007C4B70">
              <w:rPr>
                <w:noProof/>
                <w:webHidden/>
              </w:rPr>
              <w:fldChar w:fldCharType="begin"/>
            </w:r>
            <w:r w:rsidR="007C4B70">
              <w:rPr>
                <w:noProof/>
                <w:webHidden/>
              </w:rPr>
              <w:instrText xml:space="preserve"> PAGEREF _Toc98332896 \h </w:instrText>
            </w:r>
            <w:r w:rsidR="007C4B70">
              <w:rPr>
                <w:noProof/>
                <w:webHidden/>
              </w:rPr>
            </w:r>
            <w:r w:rsidR="007C4B70">
              <w:rPr>
                <w:noProof/>
                <w:webHidden/>
              </w:rPr>
              <w:fldChar w:fldCharType="separate"/>
            </w:r>
            <w:r w:rsidR="007C4B70">
              <w:rPr>
                <w:noProof/>
                <w:webHidden/>
              </w:rPr>
              <w:t>14</w:t>
            </w:r>
            <w:r w:rsidR="007C4B70">
              <w:rPr>
                <w:noProof/>
                <w:webHidden/>
              </w:rPr>
              <w:fldChar w:fldCharType="end"/>
            </w:r>
          </w:hyperlink>
        </w:p>
        <w:p w14:paraId="49ECC4CD" w14:textId="4E460425" w:rsidR="007C4B70" w:rsidRDefault="00000000">
          <w:pPr>
            <w:pStyle w:val="TOC3"/>
            <w:tabs>
              <w:tab w:val="right" w:pos="9019"/>
            </w:tabs>
            <w:ind w:left="880"/>
            <w:rPr>
              <w:rFonts w:asciiTheme="minorHAnsi" w:hAnsiTheme="minorHAnsi" w:cstheme="minorBidi"/>
              <w:noProof/>
              <w:kern w:val="2"/>
              <w:sz w:val="21"/>
              <w:lang w:val="en-US"/>
            </w:rPr>
          </w:pPr>
          <w:hyperlink w:anchor="_Toc98332897" w:history="1">
            <w:r w:rsidR="007C4B70" w:rsidRPr="005F79D4">
              <w:rPr>
                <w:rStyle w:val="ac"/>
                <w:rFonts w:ascii="文泉驿微米黑" w:eastAsia="文泉驿微米黑" w:hAnsi="文泉驿微米黑" w:cs="Arial Unicode MS"/>
                <w:noProof/>
              </w:rPr>
              <w:t>数据迁入 - TiDB Data Migration</w:t>
            </w:r>
            <w:r w:rsidR="007C4B70">
              <w:rPr>
                <w:noProof/>
                <w:webHidden/>
              </w:rPr>
              <w:tab/>
            </w:r>
            <w:r w:rsidR="007C4B70">
              <w:rPr>
                <w:noProof/>
                <w:webHidden/>
              </w:rPr>
              <w:fldChar w:fldCharType="begin"/>
            </w:r>
            <w:r w:rsidR="007C4B70">
              <w:rPr>
                <w:noProof/>
                <w:webHidden/>
              </w:rPr>
              <w:instrText xml:space="preserve"> PAGEREF _Toc98332897 \h </w:instrText>
            </w:r>
            <w:r w:rsidR="007C4B70">
              <w:rPr>
                <w:noProof/>
                <w:webHidden/>
              </w:rPr>
            </w:r>
            <w:r w:rsidR="007C4B70">
              <w:rPr>
                <w:noProof/>
                <w:webHidden/>
              </w:rPr>
              <w:fldChar w:fldCharType="separate"/>
            </w:r>
            <w:r w:rsidR="007C4B70">
              <w:rPr>
                <w:noProof/>
                <w:webHidden/>
              </w:rPr>
              <w:t>14</w:t>
            </w:r>
            <w:r w:rsidR="007C4B70">
              <w:rPr>
                <w:noProof/>
                <w:webHidden/>
              </w:rPr>
              <w:fldChar w:fldCharType="end"/>
            </w:r>
          </w:hyperlink>
        </w:p>
        <w:p w14:paraId="1B46CA36" w14:textId="3219F867" w:rsidR="007C4B70" w:rsidRDefault="00000000">
          <w:pPr>
            <w:pStyle w:val="TOC3"/>
            <w:tabs>
              <w:tab w:val="right" w:pos="9019"/>
            </w:tabs>
            <w:ind w:left="880"/>
            <w:rPr>
              <w:rFonts w:asciiTheme="minorHAnsi" w:hAnsiTheme="minorHAnsi" w:cstheme="minorBidi"/>
              <w:noProof/>
              <w:kern w:val="2"/>
              <w:sz w:val="21"/>
              <w:lang w:val="en-US"/>
            </w:rPr>
          </w:pPr>
          <w:hyperlink w:anchor="_Toc98332898" w:history="1">
            <w:r w:rsidR="007C4B70" w:rsidRPr="005F79D4">
              <w:rPr>
                <w:rStyle w:val="ac"/>
                <w:rFonts w:ascii="文泉驿微米黑" w:eastAsia="文泉驿微米黑" w:hAnsi="文泉驿微米黑" w:cs="Arial Unicode MS"/>
                <w:noProof/>
              </w:rPr>
              <w:t>增量数据迁出 - TiCDC</w:t>
            </w:r>
            <w:r w:rsidR="007C4B70">
              <w:rPr>
                <w:noProof/>
                <w:webHidden/>
              </w:rPr>
              <w:tab/>
            </w:r>
            <w:r w:rsidR="007C4B70">
              <w:rPr>
                <w:noProof/>
                <w:webHidden/>
              </w:rPr>
              <w:fldChar w:fldCharType="begin"/>
            </w:r>
            <w:r w:rsidR="007C4B70">
              <w:rPr>
                <w:noProof/>
                <w:webHidden/>
              </w:rPr>
              <w:instrText xml:space="preserve"> PAGEREF _Toc98332898 \h </w:instrText>
            </w:r>
            <w:r w:rsidR="007C4B70">
              <w:rPr>
                <w:noProof/>
                <w:webHidden/>
              </w:rPr>
            </w:r>
            <w:r w:rsidR="007C4B70">
              <w:rPr>
                <w:noProof/>
                <w:webHidden/>
              </w:rPr>
              <w:fldChar w:fldCharType="separate"/>
            </w:r>
            <w:r w:rsidR="007C4B70">
              <w:rPr>
                <w:noProof/>
                <w:webHidden/>
              </w:rPr>
              <w:t>15</w:t>
            </w:r>
            <w:r w:rsidR="007C4B70">
              <w:rPr>
                <w:noProof/>
                <w:webHidden/>
              </w:rPr>
              <w:fldChar w:fldCharType="end"/>
            </w:r>
          </w:hyperlink>
        </w:p>
        <w:p w14:paraId="05C83603" w14:textId="1F1C4A93" w:rsidR="007C4B70" w:rsidRDefault="00000000">
          <w:pPr>
            <w:pStyle w:val="TOC3"/>
            <w:tabs>
              <w:tab w:val="right" w:pos="9019"/>
            </w:tabs>
            <w:ind w:left="880"/>
            <w:rPr>
              <w:rFonts w:asciiTheme="minorHAnsi" w:hAnsiTheme="minorHAnsi" w:cstheme="minorBidi"/>
              <w:noProof/>
              <w:kern w:val="2"/>
              <w:sz w:val="21"/>
              <w:lang w:val="en-US"/>
            </w:rPr>
          </w:pPr>
          <w:hyperlink w:anchor="_Toc98332899" w:history="1">
            <w:r w:rsidR="007C4B70" w:rsidRPr="005F79D4">
              <w:rPr>
                <w:rStyle w:val="ac"/>
                <w:rFonts w:ascii="文泉驿微米黑" w:eastAsia="文泉驿微米黑" w:hAnsi="文泉驿微米黑" w:cs="Arial Unicode MS"/>
                <w:noProof/>
              </w:rPr>
              <w:t>数据导入 - TiDB Lightning</w:t>
            </w:r>
            <w:r w:rsidR="007C4B70">
              <w:rPr>
                <w:noProof/>
                <w:webHidden/>
              </w:rPr>
              <w:tab/>
            </w:r>
            <w:r w:rsidR="007C4B70">
              <w:rPr>
                <w:noProof/>
                <w:webHidden/>
              </w:rPr>
              <w:fldChar w:fldCharType="begin"/>
            </w:r>
            <w:r w:rsidR="007C4B70">
              <w:rPr>
                <w:noProof/>
                <w:webHidden/>
              </w:rPr>
              <w:instrText xml:space="preserve"> PAGEREF _Toc98332899 \h </w:instrText>
            </w:r>
            <w:r w:rsidR="007C4B70">
              <w:rPr>
                <w:noProof/>
                <w:webHidden/>
              </w:rPr>
            </w:r>
            <w:r w:rsidR="007C4B70">
              <w:rPr>
                <w:noProof/>
                <w:webHidden/>
              </w:rPr>
              <w:fldChar w:fldCharType="separate"/>
            </w:r>
            <w:r w:rsidR="007C4B70">
              <w:rPr>
                <w:noProof/>
                <w:webHidden/>
              </w:rPr>
              <w:t>16</w:t>
            </w:r>
            <w:r w:rsidR="007C4B70">
              <w:rPr>
                <w:noProof/>
                <w:webHidden/>
              </w:rPr>
              <w:fldChar w:fldCharType="end"/>
            </w:r>
          </w:hyperlink>
        </w:p>
        <w:p w14:paraId="6CCCD400" w14:textId="53D46008" w:rsidR="007C4B70" w:rsidRDefault="00000000">
          <w:pPr>
            <w:pStyle w:val="TOC3"/>
            <w:tabs>
              <w:tab w:val="right" w:pos="9019"/>
            </w:tabs>
            <w:ind w:left="880"/>
            <w:rPr>
              <w:rFonts w:asciiTheme="minorHAnsi" w:hAnsiTheme="minorHAnsi" w:cstheme="minorBidi"/>
              <w:noProof/>
              <w:kern w:val="2"/>
              <w:sz w:val="21"/>
              <w:lang w:val="en-US"/>
            </w:rPr>
          </w:pPr>
          <w:hyperlink w:anchor="_Toc98332900" w:history="1">
            <w:r w:rsidR="007C4B70" w:rsidRPr="005F79D4">
              <w:rPr>
                <w:rStyle w:val="ac"/>
                <w:rFonts w:ascii="文泉驿微米黑" w:eastAsia="文泉驿微米黑" w:hAnsi="文泉驿微米黑" w:cs="Arial Unicode MS"/>
                <w:noProof/>
              </w:rPr>
              <w:t>数据导出 - Dumpling</w:t>
            </w:r>
            <w:r w:rsidR="007C4B70">
              <w:rPr>
                <w:noProof/>
                <w:webHidden/>
              </w:rPr>
              <w:tab/>
            </w:r>
            <w:r w:rsidR="007C4B70">
              <w:rPr>
                <w:noProof/>
                <w:webHidden/>
              </w:rPr>
              <w:fldChar w:fldCharType="begin"/>
            </w:r>
            <w:r w:rsidR="007C4B70">
              <w:rPr>
                <w:noProof/>
                <w:webHidden/>
              </w:rPr>
              <w:instrText xml:space="preserve"> PAGEREF _Toc98332900 \h </w:instrText>
            </w:r>
            <w:r w:rsidR="007C4B70">
              <w:rPr>
                <w:noProof/>
                <w:webHidden/>
              </w:rPr>
            </w:r>
            <w:r w:rsidR="007C4B70">
              <w:rPr>
                <w:noProof/>
                <w:webHidden/>
              </w:rPr>
              <w:fldChar w:fldCharType="separate"/>
            </w:r>
            <w:r w:rsidR="007C4B70">
              <w:rPr>
                <w:noProof/>
                <w:webHidden/>
              </w:rPr>
              <w:t>16</w:t>
            </w:r>
            <w:r w:rsidR="007C4B70">
              <w:rPr>
                <w:noProof/>
                <w:webHidden/>
              </w:rPr>
              <w:fldChar w:fldCharType="end"/>
            </w:r>
          </w:hyperlink>
        </w:p>
        <w:p w14:paraId="08EDE5B6" w14:textId="1A4F4400" w:rsidR="007C4B70" w:rsidRDefault="00000000">
          <w:pPr>
            <w:pStyle w:val="TOC2"/>
            <w:tabs>
              <w:tab w:val="right" w:pos="9019"/>
            </w:tabs>
            <w:ind w:left="440"/>
            <w:rPr>
              <w:rFonts w:asciiTheme="minorHAnsi" w:hAnsiTheme="minorHAnsi" w:cstheme="minorBidi"/>
              <w:noProof/>
              <w:kern w:val="2"/>
              <w:sz w:val="21"/>
              <w:lang w:val="en-US"/>
            </w:rPr>
          </w:pPr>
          <w:hyperlink w:anchor="_Toc98332901" w:history="1">
            <w:r w:rsidR="007C4B70" w:rsidRPr="005F79D4">
              <w:rPr>
                <w:rStyle w:val="ac"/>
                <w:rFonts w:ascii="文泉驿微米黑" w:eastAsia="文泉驿微米黑" w:hAnsi="文泉驿微米黑" w:cs="Arial Unicode MS"/>
                <w:noProof/>
              </w:rPr>
              <w:t>备份和恢复 - Backup &amp; Restore</w:t>
            </w:r>
            <w:r w:rsidR="007C4B70">
              <w:rPr>
                <w:noProof/>
                <w:webHidden/>
              </w:rPr>
              <w:tab/>
            </w:r>
            <w:r w:rsidR="007C4B70">
              <w:rPr>
                <w:noProof/>
                <w:webHidden/>
              </w:rPr>
              <w:fldChar w:fldCharType="begin"/>
            </w:r>
            <w:r w:rsidR="007C4B70">
              <w:rPr>
                <w:noProof/>
                <w:webHidden/>
              </w:rPr>
              <w:instrText xml:space="preserve"> PAGEREF _Toc98332901 \h </w:instrText>
            </w:r>
            <w:r w:rsidR="007C4B70">
              <w:rPr>
                <w:noProof/>
                <w:webHidden/>
              </w:rPr>
            </w:r>
            <w:r w:rsidR="007C4B70">
              <w:rPr>
                <w:noProof/>
                <w:webHidden/>
              </w:rPr>
              <w:fldChar w:fldCharType="separate"/>
            </w:r>
            <w:r w:rsidR="007C4B70">
              <w:rPr>
                <w:noProof/>
                <w:webHidden/>
              </w:rPr>
              <w:t>16</w:t>
            </w:r>
            <w:r w:rsidR="007C4B70">
              <w:rPr>
                <w:noProof/>
                <w:webHidden/>
              </w:rPr>
              <w:fldChar w:fldCharType="end"/>
            </w:r>
          </w:hyperlink>
        </w:p>
        <w:p w14:paraId="29922533" w14:textId="5F0C0123" w:rsidR="007C4B70" w:rsidRDefault="00000000">
          <w:pPr>
            <w:pStyle w:val="TOC2"/>
            <w:tabs>
              <w:tab w:val="right" w:pos="9019"/>
            </w:tabs>
            <w:ind w:left="440"/>
            <w:rPr>
              <w:rFonts w:asciiTheme="minorHAnsi" w:hAnsiTheme="minorHAnsi" w:cstheme="minorBidi"/>
              <w:noProof/>
              <w:kern w:val="2"/>
              <w:sz w:val="21"/>
              <w:lang w:val="en-US"/>
            </w:rPr>
          </w:pPr>
          <w:hyperlink w:anchor="_Toc98332902" w:history="1">
            <w:r w:rsidR="007C4B70" w:rsidRPr="005F79D4">
              <w:rPr>
                <w:rStyle w:val="ac"/>
                <w:rFonts w:ascii="文泉驿微米黑" w:eastAsia="文泉驿微米黑" w:hAnsi="文泉驿微米黑" w:cs="Arial Unicode MS"/>
                <w:noProof/>
              </w:rPr>
              <w:t>安装部署</w:t>
            </w:r>
            <w:r w:rsidR="007C4B70">
              <w:rPr>
                <w:noProof/>
                <w:webHidden/>
              </w:rPr>
              <w:tab/>
            </w:r>
            <w:r w:rsidR="007C4B70">
              <w:rPr>
                <w:noProof/>
                <w:webHidden/>
              </w:rPr>
              <w:fldChar w:fldCharType="begin"/>
            </w:r>
            <w:r w:rsidR="007C4B70">
              <w:rPr>
                <w:noProof/>
                <w:webHidden/>
              </w:rPr>
              <w:instrText xml:space="preserve"> PAGEREF _Toc98332902 \h </w:instrText>
            </w:r>
            <w:r w:rsidR="007C4B70">
              <w:rPr>
                <w:noProof/>
                <w:webHidden/>
              </w:rPr>
            </w:r>
            <w:r w:rsidR="007C4B70">
              <w:rPr>
                <w:noProof/>
                <w:webHidden/>
              </w:rPr>
              <w:fldChar w:fldCharType="separate"/>
            </w:r>
            <w:r w:rsidR="007C4B70">
              <w:rPr>
                <w:noProof/>
                <w:webHidden/>
              </w:rPr>
              <w:t>17</w:t>
            </w:r>
            <w:r w:rsidR="007C4B70">
              <w:rPr>
                <w:noProof/>
                <w:webHidden/>
              </w:rPr>
              <w:fldChar w:fldCharType="end"/>
            </w:r>
          </w:hyperlink>
        </w:p>
        <w:p w14:paraId="66A9E433" w14:textId="314AD0E3" w:rsidR="007C4B70" w:rsidRDefault="00000000">
          <w:pPr>
            <w:pStyle w:val="TOC3"/>
            <w:tabs>
              <w:tab w:val="right" w:pos="9019"/>
            </w:tabs>
            <w:ind w:left="880"/>
            <w:rPr>
              <w:rFonts w:asciiTheme="minorHAnsi" w:hAnsiTheme="minorHAnsi" w:cstheme="minorBidi"/>
              <w:noProof/>
              <w:kern w:val="2"/>
              <w:sz w:val="21"/>
              <w:lang w:val="en-US"/>
            </w:rPr>
          </w:pPr>
          <w:hyperlink w:anchor="_Toc98332903" w:history="1">
            <w:r w:rsidR="007C4B70" w:rsidRPr="005F79D4">
              <w:rPr>
                <w:rStyle w:val="ac"/>
                <w:rFonts w:ascii="文泉驿微米黑" w:eastAsia="文泉驿微米黑" w:hAnsi="文泉驿微米黑"/>
                <w:noProof/>
              </w:rPr>
              <w:t>TiUP</w:t>
            </w:r>
            <w:r w:rsidR="007C4B70">
              <w:rPr>
                <w:noProof/>
                <w:webHidden/>
              </w:rPr>
              <w:tab/>
            </w:r>
            <w:r w:rsidR="007C4B70">
              <w:rPr>
                <w:noProof/>
                <w:webHidden/>
              </w:rPr>
              <w:fldChar w:fldCharType="begin"/>
            </w:r>
            <w:r w:rsidR="007C4B70">
              <w:rPr>
                <w:noProof/>
                <w:webHidden/>
              </w:rPr>
              <w:instrText xml:space="preserve"> PAGEREF _Toc98332903 \h </w:instrText>
            </w:r>
            <w:r w:rsidR="007C4B70">
              <w:rPr>
                <w:noProof/>
                <w:webHidden/>
              </w:rPr>
            </w:r>
            <w:r w:rsidR="007C4B70">
              <w:rPr>
                <w:noProof/>
                <w:webHidden/>
              </w:rPr>
              <w:fldChar w:fldCharType="separate"/>
            </w:r>
            <w:r w:rsidR="007C4B70">
              <w:rPr>
                <w:noProof/>
                <w:webHidden/>
              </w:rPr>
              <w:t>17</w:t>
            </w:r>
            <w:r w:rsidR="007C4B70">
              <w:rPr>
                <w:noProof/>
                <w:webHidden/>
              </w:rPr>
              <w:fldChar w:fldCharType="end"/>
            </w:r>
          </w:hyperlink>
        </w:p>
        <w:p w14:paraId="1EA46E18" w14:textId="7EDA6368" w:rsidR="007C4B70" w:rsidRDefault="00000000">
          <w:pPr>
            <w:pStyle w:val="TOC3"/>
            <w:tabs>
              <w:tab w:val="right" w:pos="9019"/>
            </w:tabs>
            <w:ind w:left="880"/>
            <w:rPr>
              <w:rFonts w:asciiTheme="minorHAnsi" w:hAnsiTheme="minorHAnsi" w:cstheme="minorBidi"/>
              <w:noProof/>
              <w:kern w:val="2"/>
              <w:sz w:val="21"/>
              <w:lang w:val="en-US"/>
            </w:rPr>
          </w:pPr>
          <w:hyperlink w:anchor="_Toc98332904" w:history="1">
            <w:r w:rsidR="007C4B70" w:rsidRPr="005F79D4">
              <w:rPr>
                <w:rStyle w:val="ac"/>
                <w:rFonts w:ascii="文泉驿微米黑" w:eastAsia="文泉驿微米黑" w:hAnsi="文泉驿微米黑"/>
                <w:noProof/>
              </w:rPr>
              <w:t>TiDB Operator</w:t>
            </w:r>
            <w:r w:rsidR="007C4B70">
              <w:rPr>
                <w:noProof/>
                <w:webHidden/>
              </w:rPr>
              <w:tab/>
            </w:r>
            <w:r w:rsidR="007C4B70">
              <w:rPr>
                <w:noProof/>
                <w:webHidden/>
              </w:rPr>
              <w:fldChar w:fldCharType="begin"/>
            </w:r>
            <w:r w:rsidR="007C4B70">
              <w:rPr>
                <w:noProof/>
                <w:webHidden/>
              </w:rPr>
              <w:instrText xml:space="preserve"> PAGEREF _Toc98332904 \h </w:instrText>
            </w:r>
            <w:r w:rsidR="007C4B70">
              <w:rPr>
                <w:noProof/>
                <w:webHidden/>
              </w:rPr>
            </w:r>
            <w:r w:rsidR="007C4B70">
              <w:rPr>
                <w:noProof/>
                <w:webHidden/>
              </w:rPr>
              <w:fldChar w:fldCharType="separate"/>
            </w:r>
            <w:r w:rsidR="007C4B70">
              <w:rPr>
                <w:noProof/>
                <w:webHidden/>
              </w:rPr>
              <w:t>18</w:t>
            </w:r>
            <w:r w:rsidR="007C4B70">
              <w:rPr>
                <w:noProof/>
                <w:webHidden/>
              </w:rPr>
              <w:fldChar w:fldCharType="end"/>
            </w:r>
          </w:hyperlink>
        </w:p>
        <w:p w14:paraId="252041F9" w14:textId="00F98654" w:rsidR="007C4B70" w:rsidRDefault="00000000">
          <w:pPr>
            <w:pStyle w:val="TOC2"/>
            <w:tabs>
              <w:tab w:val="right" w:pos="9019"/>
            </w:tabs>
            <w:ind w:left="440"/>
            <w:rPr>
              <w:rFonts w:asciiTheme="minorHAnsi" w:hAnsiTheme="minorHAnsi" w:cstheme="minorBidi"/>
              <w:noProof/>
              <w:kern w:val="2"/>
              <w:sz w:val="21"/>
              <w:lang w:val="en-US"/>
            </w:rPr>
          </w:pPr>
          <w:hyperlink w:anchor="_Toc98332905" w:history="1">
            <w:r w:rsidR="007C4B70" w:rsidRPr="005F79D4">
              <w:rPr>
                <w:rStyle w:val="ac"/>
                <w:rFonts w:ascii="文泉驿微米黑" w:eastAsia="文泉驿微米黑" w:hAnsi="文泉驿微米黑" w:cs="Arial Unicode MS"/>
                <w:noProof/>
              </w:rPr>
              <w:t>运维和可视化管理 - TiDB Dashboard</w:t>
            </w:r>
            <w:r w:rsidR="007C4B70">
              <w:rPr>
                <w:noProof/>
                <w:webHidden/>
              </w:rPr>
              <w:tab/>
            </w:r>
            <w:r w:rsidR="007C4B70">
              <w:rPr>
                <w:noProof/>
                <w:webHidden/>
              </w:rPr>
              <w:fldChar w:fldCharType="begin"/>
            </w:r>
            <w:r w:rsidR="007C4B70">
              <w:rPr>
                <w:noProof/>
                <w:webHidden/>
              </w:rPr>
              <w:instrText xml:space="preserve"> PAGEREF _Toc98332905 \h </w:instrText>
            </w:r>
            <w:r w:rsidR="007C4B70">
              <w:rPr>
                <w:noProof/>
                <w:webHidden/>
              </w:rPr>
            </w:r>
            <w:r w:rsidR="007C4B70">
              <w:rPr>
                <w:noProof/>
                <w:webHidden/>
              </w:rPr>
              <w:fldChar w:fldCharType="separate"/>
            </w:r>
            <w:r w:rsidR="007C4B70">
              <w:rPr>
                <w:noProof/>
                <w:webHidden/>
              </w:rPr>
              <w:t>18</w:t>
            </w:r>
            <w:r w:rsidR="007C4B70">
              <w:rPr>
                <w:noProof/>
                <w:webHidden/>
              </w:rPr>
              <w:fldChar w:fldCharType="end"/>
            </w:r>
          </w:hyperlink>
        </w:p>
        <w:p w14:paraId="618FAA39" w14:textId="6D111052" w:rsidR="007C4B70" w:rsidRDefault="00000000">
          <w:pPr>
            <w:pStyle w:val="TOC1"/>
            <w:tabs>
              <w:tab w:val="right" w:pos="9019"/>
            </w:tabs>
            <w:rPr>
              <w:rFonts w:asciiTheme="minorHAnsi" w:hAnsiTheme="minorHAnsi" w:cstheme="minorBidi"/>
              <w:noProof/>
              <w:kern w:val="2"/>
              <w:sz w:val="21"/>
              <w:lang w:val="en-US"/>
            </w:rPr>
          </w:pPr>
          <w:hyperlink w:anchor="_Toc98332906" w:history="1">
            <w:r w:rsidR="007C4B70" w:rsidRPr="005F79D4">
              <w:rPr>
                <w:rStyle w:val="ac"/>
                <w:rFonts w:ascii="文泉驿微米黑" w:eastAsia="文泉驿微米黑" w:hAnsi="文泉驿微米黑" w:cs="Arial Unicode MS"/>
                <w:b/>
                <w:noProof/>
              </w:rPr>
              <w:t>企业级高级功能</w:t>
            </w:r>
            <w:r w:rsidR="007C4B70">
              <w:rPr>
                <w:noProof/>
                <w:webHidden/>
              </w:rPr>
              <w:tab/>
            </w:r>
            <w:r w:rsidR="007C4B70">
              <w:rPr>
                <w:noProof/>
                <w:webHidden/>
              </w:rPr>
              <w:fldChar w:fldCharType="begin"/>
            </w:r>
            <w:r w:rsidR="007C4B70">
              <w:rPr>
                <w:noProof/>
                <w:webHidden/>
              </w:rPr>
              <w:instrText xml:space="preserve"> PAGEREF _Toc98332906 \h </w:instrText>
            </w:r>
            <w:r w:rsidR="007C4B70">
              <w:rPr>
                <w:noProof/>
                <w:webHidden/>
              </w:rPr>
            </w:r>
            <w:r w:rsidR="007C4B70">
              <w:rPr>
                <w:noProof/>
                <w:webHidden/>
              </w:rPr>
              <w:fldChar w:fldCharType="separate"/>
            </w:r>
            <w:r w:rsidR="007C4B70">
              <w:rPr>
                <w:noProof/>
                <w:webHidden/>
              </w:rPr>
              <w:t>20</w:t>
            </w:r>
            <w:r w:rsidR="007C4B70">
              <w:rPr>
                <w:noProof/>
                <w:webHidden/>
              </w:rPr>
              <w:fldChar w:fldCharType="end"/>
            </w:r>
          </w:hyperlink>
        </w:p>
        <w:p w14:paraId="5F823275" w14:textId="1A2AE3D1" w:rsidR="007C4B70" w:rsidRDefault="00000000">
          <w:pPr>
            <w:pStyle w:val="TOC2"/>
            <w:tabs>
              <w:tab w:val="right" w:pos="9019"/>
            </w:tabs>
            <w:ind w:left="440"/>
            <w:rPr>
              <w:rFonts w:asciiTheme="minorHAnsi" w:hAnsiTheme="minorHAnsi" w:cstheme="minorBidi"/>
              <w:noProof/>
              <w:kern w:val="2"/>
              <w:sz w:val="21"/>
              <w:lang w:val="en-US"/>
            </w:rPr>
          </w:pPr>
          <w:hyperlink w:anchor="_Toc98332907" w:history="1">
            <w:r w:rsidR="007C4B70" w:rsidRPr="005F79D4">
              <w:rPr>
                <w:rStyle w:val="ac"/>
                <w:rFonts w:ascii="文泉驿微米黑" w:eastAsia="文泉驿微米黑" w:hAnsi="文泉驿微米黑" w:cs="Arial Unicode MS"/>
                <w:noProof/>
              </w:rPr>
              <w:t>弹性扩缩容</w:t>
            </w:r>
            <w:r w:rsidR="007C4B70">
              <w:rPr>
                <w:noProof/>
                <w:webHidden/>
              </w:rPr>
              <w:tab/>
            </w:r>
            <w:r w:rsidR="007C4B70">
              <w:rPr>
                <w:noProof/>
                <w:webHidden/>
              </w:rPr>
              <w:fldChar w:fldCharType="begin"/>
            </w:r>
            <w:r w:rsidR="007C4B70">
              <w:rPr>
                <w:noProof/>
                <w:webHidden/>
              </w:rPr>
              <w:instrText xml:space="preserve"> PAGEREF _Toc98332907 \h </w:instrText>
            </w:r>
            <w:r w:rsidR="007C4B70">
              <w:rPr>
                <w:noProof/>
                <w:webHidden/>
              </w:rPr>
            </w:r>
            <w:r w:rsidR="007C4B70">
              <w:rPr>
                <w:noProof/>
                <w:webHidden/>
              </w:rPr>
              <w:fldChar w:fldCharType="separate"/>
            </w:r>
            <w:r w:rsidR="007C4B70">
              <w:rPr>
                <w:noProof/>
                <w:webHidden/>
              </w:rPr>
              <w:t>20</w:t>
            </w:r>
            <w:r w:rsidR="007C4B70">
              <w:rPr>
                <w:noProof/>
                <w:webHidden/>
              </w:rPr>
              <w:fldChar w:fldCharType="end"/>
            </w:r>
          </w:hyperlink>
        </w:p>
        <w:p w14:paraId="20D6A5F8" w14:textId="38A0FF6C" w:rsidR="007C4B70" w:rsidRDefault="00000000">
          <w:pPr>
            <w:pStyle w:val="TOC2"/>
            <w:tabs>
              <w:tab w:val="right" w:pos="9019"/>
            </w:tabs>
            <w:ind w:left="440"/>
            <w:rPr>
              <w:rFonts w:asciiTheme="minorHAnsi" w:hAnsiTheme="minorHAnsi" w:cstheme="minorBidi"/>
              <w:noProof/>
              <w:kern w:val="2"/>
              <w:sz w:val="21"/>
              <w:lang w:val="en-US"/>
            </w:rPr>
          </w:pPr>
          <w:hyperlink w:anchor="_Toc98332908" w:history="1">
            <w:r w:rsidR="007C4B70" w:rsidRPr="005F79D4">
              <w:rPr>
                <w:rStyle w:val="ac"/>
                <w:rFonts w:ascii="文泉驿微米黑" w:eastAsia="文泉驿微米黑" w:hAnsi="文泉驿微米黑" w:cs="Arial Unicode MS"/>
                <w:noProof/>
              </w:rPr>
              <w:t>多副本、数据强一致</w:t>
            </w:r>
            <w:r w:rsidR="007C4B70">
              <w:rPr>
                <w:noProof/>
                <w:webHidden/>
              </w:rPr>
              <w:tab/>
            </w:r>
            <w:r w:rsidR="007C4B70">
              <w:rPr>
                <w:noProof/>
                <w:webHidden/>
              </w:rPr>
              <w:fldChar w:fldCharType="begin"/>
            </w:r>
            <w:r w:rsidR="007C4B70">
              <w:rPr>
                <w:noProof/>
                <w:webHidden/>
              </w:rPr>
              <w:instrText xml:space="preserve"> PAGEREF _Toc98332908 \h </w:instrText>
            </w:r>
            <w:r w:rsidR="007C4B70">
              <w:rPr>
                <w:noProof/>
                <w:webHidden/>
              </w:rPr>
            </w:r>
            <w:r w:rsidR="007C4B70">
              <w:rPr>
                <w:noProof/>
                <w:webHidden/>
              </w:rPr>
              <w:fldChar w:fldCharType="separate"/>
            </w:r>
            <w:r w:rsidR="007C4B70">
              <w:rPr>
                <w:noProof/>
                <w:webHidden/>
              </w:rPr>
              <w:t>22</w:t>
            </w:r>
            <w:r w:rsidR="007C4B70">
              <w:rPr>
                <w:noProof/>
                <w:webHidden/>
              </w:rPr>
              <w:fldChar w:fldCharType="end"/>
            </w:r>
          </w:hyperlink>
        </w:p>
        <w:p w14:paraId="65A9F169" w14:textId="4409AF87" w:rsidR="007C4B70" w:rsidRDefault="00000000">
          <w:pPr>
            <w:pStyle w:val="TOC2"/>
            <w:tabs>
              <w:tab w:val="right" w:pos="9019"/>
            </w:tabs>
            <w:ind w:left="440"/>
            <w:rPr>
              <w:rFonts w:asciiTheme="minorHAnsi" w:hAnsiTheme="minorHAnsi" w:cstheme="minorBidi"/>
              <w:noProof/>
              <w:kern w:val="2"/>
              <w:sz w:val="21"/>
              <w:lang w:val="en-US"/>
            </w:rPr>
          </w:pPr>
          <w:hyperlink w:anchor="_Toc98332909" w:history="1">
            <w:r w:rsidR="007C4B70" w:rsidRPr="005F79D4">
              <w:rPr>
                <w:rStyle w:val="ac"/>
                <w:rFonts w:ascii="文泉驿微米黑" w:eastAsia="文泉驿微米黑" w:hAnsi="文泉驿微米黑" w:cs="Arial Unicode MS"/>
                <w:noProof/>
              </w:rPr>
              <w:t>故障自动转移与恢复</w:t>
            </w:r>
            <w:r w:rsidR="007C4B70">
              <w:rPr>
                <w:noProof/>
                <w:webHidden/>
              </w:rPr>
              <w:tab/>
            </w:r>
            <w:r w:rsidR="007C4B70">
              <w:rPr>
                <w:noProof/>
                <w:webHidden/>
              </w:rPr>
              <w:fldChar w:fldCharType="begin"/>
            </w:r>
            <w:r w:rsidR="007C4B70">
              <w:rPr>
                <w:noProof/>
                <w:webHidden/>
              </w:rPr>
              <w:instrText xml:space="preserve"> PAGEREF _Toc98332909 \h </w:instrText>
            </w:r>
            <w:r w:rsidR="007C4B70">
              <w:rPr>
                <w:noProof/>
                <w:webHidden/>
              </w:rPr>
            </w:r>
            <w:r w:rsidR="007C4B70">
              <w:rPr>
                <w:noProof/>
                <w:webHidden/>
              </w:rPr>
              <w:fldChar w:fldCharType="separate"/>
            </w:r>
            <w:r w:rsidR="007C4B70">
              <w:rPr>
                <w:noProof/>
                <w:webHidden/>
              </w:rPr>
              <w:t>23</w:t>
            </w:r>
            <w:r w:rsidR="007C4B70">
              <w:rPr>
                <w:noProof/>
                <w:webHidden/>
              </w:rPr>
              <w:fldChar w:fldCharType="end"/>
            </w:r>
          </w:hyperlink>
        </w:p>
        <w:p w14:paraId="439F2C93" w14:textId="0F85A395" w:rsidR="007C4B70" w:rsidRDefault="00000000">
          <w:pPr>
            <w:pStyle w:val="TOC2"/>
            <w:tabs>
              <w:tab w:val="right" w:pos="9019"/>
            </w:tabs>
            <w:ind w:left="440"/>
            <w:rPr>
              <w:rFonts w:asciiTheme="minorHAnsi" w:hAnsiTheme="minorHAnsi" w:cstheme="minorBidi"/>
              <w:noProof/>
              <w:kern w:val="2"/>
              <w:sz w:val="21"/>
              <w:lang w:val="en-US"/>
            </w:rPr>
          </w:pPr>
          <w:hyperlink w:anchor="_Toc98332910" w:history="1">
            <w:r w:rsidR="007C4B70" w:rsidRPr="005F79D4">
              <w:rPr>
                <w:rStyle w:val="ac"/>
                <w:rFonts w:ascii="文泉驿微米黑" w:eastAsia="文泉驿微米黑" w:hAnsi="文泉驿微米黑" w:cs="Arial Unicode MS"/>
                <w:noProof/>
              </w:rPr>
              <w:t>备份与恢复</w:t>
            </w:r>
            <w:r w:rsidR="007C4B70">
              <w:rPr>
                <w:noProof/>
                <w:webHidden/>
              </w:rPr>
              <w:tab/>
            </w:r>
            <w:r w:rsidR="007C4B70">
              <w:rPr>
                <w:noProof/>
                <w:webHidden/>
              </w:rPr>
              <w:fldChar w:fldCharType="begin"/>
            </w:r>
            <w:r w:rsidR="007C4B70">
              <w:rPr>
                <w:noProof/>
                <w:webHidden/>
              </w:rPr>
              <w:instrText xml:space="preserve"> PAGEREF _Toc98332910 \h </w:instrText>
            </w:r>
            <w:r w:rsidR="007C4B70">
              <w:rPr>
                <w:noProof/>
                <w:webHidden/>
              </w:rPr>
            </w:r>
            <w:r w:rsidR="007C4B70">
              <w:rPr>
                <w:noProof/>
                <w:webHidden/>
              </w:rPr>
              <w:fldChar w:fldCharType="separate"/>
            </w:r>
            <w:r w:rsidR="007C4B70">
              <w:rPr>
                <w:noProof/>
                <w:webHidden/>
              </w:rPr>
              <w:t>24</w:t>
            </w:r>
            <w:r w:rsidR="007C4B70">
              <w:rPr>
                <w:noProof/>
                <w:webHidden/>
              </w:rPr>
              <w:fldChar w:fldCharType="end"/>
            </w:r>
          </w:hyperlink>
        </w:p>
        <w:p w14:paraId="4C7DDEAA" w14:textId="2DB1E977" w:rsidR="007C4B70" w:rsidRDefault="00000000">
          <w:pPr>
            <w:pStyle w:val="TOC2"/>
            <w:tabs>
              <w:tab w:val="right" w:pos="9019"/>
            </w:tabs>
            <w:ind w:left="440"/>
            <w:rPr>
              <w:rFonts w:asciiTheme="minorHAnsi" w:hAnsiTheme="minorHAnsi" w:cstheme="minorBidi"/>
              <w:noProof/>
              <w:kern w:val="2"/>
              <w:sz w:val="21"/>
              <w:lang w:val="en-US"/>
            </w:rPr>
          </w:pPr>
          <w:hyperlink w:anchor="_Toc98332911" w:history="1">
            <w:r w:rsidR="007C4B70" w:rsidRPr="005F79D4">
              <w:rPr>
                <w:rStyle w:val="ac"/>
                <w:rFonts w:ascii="文泉驿微米黑" w:eastAsia="文泉驿微米黑" w:hAnsi="文泉驿微米黑" w:cs="Arial Unicode MS"/>
                <w:noProof/>
              </w:rPr>
              <w:t>同城和异地容灾</w:t>
            </w:r>
            <w:r w:rsidR="007C4B70">
              <w:rPr>
                <w:noProof/>
                <w:webHidden/>
              </w:rPr>
              <w:tab/>
            </w:r>
            <w:r w:rsidR="007C4B70">
              <w:rPr>
                <w:noProof/>
                <w:webHidden/>
              </w:rPr>
              <w:fldChar w:fldCharType="begin"/>
            </w:r>
            <w:r w:rsidR="007C4B70">
              <w:rPr>
                <w:noProof/>
                <w:webHidden/>
              </w:rPr>
              <w:instrText xml:space="preserve"> PAGEREF _Toc98332911 \h </w:instrText>
            </w:r>
            <w:r w:rsidR="007C4B70">
              <w:rPr>
                <w:noProof/>
                <w:webHidden/>
              </w:rPr>
            </w:r>
            <w:r w:rsidR="007C4B70">
              <w:rPr>
                <w:noProof/>
                <w:webHidden/>
              </w:rPr>
              <w:fldChar w:fldCharType="separate"/>
            </w:r>
            <w:r w:rsidR="007C4B70">
              <w:rPr>
                <w:noProof/>
                <w:webHidden/>
              </w:rPr>
              <w:t>25</w:t>
            </w:r>
            <w:r w:rsidR="007C4B70">
              <w:rPr>
                <w:noProof/>
                <w:webHidden/>
              </w:rPr>
              <w:fldChar w:fldCharType="end"/>
            </w:r>
          </w:hyperlink>
        </w:p>
        <w:p w14:paraId="13D402BE" w14:textId="628862C2" w:rsidR="007C4B70" w:rsidRDefault="00000000">
          <w:pPr>
            <w:pStyle w:val="TOC3"/>
            <w:tabs>
              <w:tab w:val="right" w:pos="9019"/>
            </w:tabs>
            <w:ind w:left="880"/>
            <w:rPr>
              <w:rFonts w:asciiTheme="minorHAnsi" w:hAnsiTheme="minorHAnsi" w:cstheme="minorBidi"/>
              <w:noProof/>
              <w:kern w:val="2"/>
              <w:sz w:val="21"/>
              <w:lang w:val="en-US"/>
            </w:rPr>
          </w:pPr>
          <w:hyperlink w:anchor="_Toc98332912" w:history="1">
            <w:r w:rsidR="007C4B70" w:rsidRPr="005F79D4">
              <w:rPr>
                <w:rStyle w:val="ac"/>
                <w:rFonts w:ascii="文泉驿微米黑" w:eastAsia="文泉驿微米黑" w:hAnsi="文泉驿微米黑" w:cs="Arial Unicode MS"/>
                <w:noProof/>
              </w:rPr>
              <w:t>同城三中心容灾</w:t>
            </w:r>
            <w:r w:rsidR="007C4B70">
              <w:rPr>
                <w:noProof/>
                <w:webHidden/>
              </w:rPr>
              <w:tab/>
            </w:r>
            <w:r w:rsidR="007C4B70">
              <w:rPr>
                <w:noProof/>
                <w:webHidden/>
              </w:rPr>
              <w:fldChar w:fldCharType="begin"/>
            </w:r>
            <w:r w:rsidR="007C4B70">
              <w:rPr>
                <w:noProof/>
                <w:webHidden/>
              </w:rPr>
              <w:instrText xml:space="preserve"> PAGEREF _Toc98332912 \h </w:instrText>
            </w:r>
            <w:r w:rsidR="007C4B70">
              <w:rPr>
                <w:noProof/>
                <w:webHidden/>
              </w:rPr>
            </w:r>
            <w:r w:rsidR="007C4B70">
              <w:rPr>
                <w:noProof/>
                <w:webHidden/>
              </w:rPr>
              <w:fldChar w:fldCharType="separate"/>
            </w:r>
            <w:r w:rsidR="007C4B70">
              <w:rPr>
                <w:noProof/>
                <w:webHidden/>
              </w:rPr>
              <w:t>25</w:t>
            </w:r>
            <w:r w:rsidR="007C4B70">
              <w:rPr>
                <w:noProof/>
                <w:webHidden/>
              </w:rPr>
              <w:fldChar w:fldCharType="end"/>
            </w:r>
          </w:hyperlink>
        </w:p>
        <w:p w14:paraId="4779E47A" w14:textId="6B4C6F60" w:rsidR="007C4B70" w:rsidRDefault="00000000">
          <w:pPr>
            <w:pStyle w:val="TOC3"/>
            <w:tabs>
              <w:tab w:val="right" w:pos="9019"/>
            </w:tabs>
            <w:ind w:left="880"/>
            <w:rPr>
              <w:rFonts w:asciiTheme="minorHAnsi" w:hAnsiTheme="minorHAnsi" w:cstheme="minorBidi"/>
              <w:noProof/>
              <w:kern w:val="2"/>
              <w:sz w:val="21"/>
              <w:lang w:val="en-US"/>
            </w:rPr>
          </w:pPr>
          <w:hyperlink w:anchor="_Toc98332913" w:history="1">
            <w:r w:rsidR="007C4B70" w:rsidRPr="005F79D4">
              <w:rPr>
                <w:rStyle w:val="ac"/>
                <w:rFonts w:ascii="文泉驿微米黑" w:eastAsia="文泉驿微米黑" w:hAnsi="文泉驿微米黑" w:cs="Arial Unicode MS"/>
                <w:noProof/>
              </w:rPr>
              <w:t>两地三中心容灾</w:t>
            </w:r>
            <w:r w:rsidR="007C4B70">
              <w:rPr>
                <w:noProof/>
                <w:webHidden/>
              </w:rPr>
              <w:tab/>
            </w:r>
            <w:r w:rsidR="007C4B70">
              <w:rPr>
                <w:noProof/>
                <w:webHidden/>
              </w:rPr>
              <w:fldChar w:fldCharType="begin"/>
            </w:r>
            <w:r w:rsidR="007C4B70">
              <w:rPr>
                <w:noProof/>
                <w:webHidden/>
              </w:rPr>
              <w:instrText xml:space="preserve"> PAGEREF _Toc98332913 \h </w:instrText>
            </w:r>
            <w:r w:rsidR="007C4B70">
              <w:rPr>
                <w:noProof/>
                <w:webHidden/>
              </w:rPr>
            </w:r>
            <w:r w:rsidR="007C4B70">
              <w:rPr>
                <w:noProof/>
                <w:webHidden/>
              </w:rPr>
              <w:fldChar w:fldCharType="separate"/>
            </w:r>
            <w:r w:rsidR="007C4B70">
              <w:rPr>
                <w:noProof/>
                <w:webHidden/>
              </w:rPr>
              <w:t>26</w:t>
            </w:r>
            <w:r w:rsidR="007C4B70">
              <w:rPr>
                <w:noProof/>
                <w:webHidden/>
              </w:rPr>
              <w:fldChar w:fldCharType="end"/>
            </w:r>
          </w:hyperlink>
        </w:p>
        <w:p w14:paraId="2B6B8F8B" w14:textId="2A3EF1AA" w:rsidR="007E0E62" w:rsidRPr="006C3298" w:rsidRDefault="00571458">
          <w:pPr>
            <w:tabs>
              <w:tab w:val="right" w:pos="9025"/>
            </w:tabs>
            <w:spacing w:before="60" w:after="80" w:line="240" w:lineRule="auto"/>
            <w:ind w:left="720"/>
            <w:rPr>
              <w:rFonts w:ascii="文泉驿微米黑" w:eastAsia="文泉驿微米黑" w:hAnsi="文泉驿微米黑" w:cs="Helvetica Neue"/>
              <w:color w:val="000000"/>
            </w:rPr>
          </w:pPr>
          <w:r w:rsidRPr="006C3298">
            <w:rPr>
              <w:rFonts w:ascii="文泉驿微米黑" w:eastAsia="文泉驿微米黑" w:hAnsi="文泉驿微米黑"/>
            </w:rPr>
            <w:fldChar w:fldCharType="end"/>
          </w:r>
        </w:p>
      </w:sdtContent>
    </w:sdt>
    <w:p w14:paraId="586E9845" w14:textId="77777777" w:rsidR="007E0E62" w:rsidRPr="006C3298" w:rsidRDefault="00571458">
      <w:pPr>
        <w:rPr>
          <w:rFonts w:ascii="文泉驿微米黑" w:eastAsia="文泉驿微米黑" w:hAnsi="文泉驿微米黑" w:cs="Helvetica Neue"/>
        </w:rPr>
      </w:pPr>
      <w:r w:rsidRPr="006C3298">
        <w:rPr>
          <w:rFonts w:ascii="文泉驿微米黑" w:eastAsia="文泉驿微米黑" w:hAnsi="文泉驿微米黑"/>
        </w:rPr>
        <w:br w:type="page"/>
      </w:r>
    </w:p>
    <w:p w14:paraId="25D46190" w14:textId="77777777" w:rsidR="007E0E62" w:rsidRPr="006C3298" w:rsidRDefault="00571458">
      <w:pPr>
        <w:pStyle w:val="1"/>
        <w:rPr>
          <w:rFonts w:ascii="文泉驿微米黑" w:eastAsia="文泉驿微米黑" w:hAnsi="文泉驿微米黑"/>
        </w:rPr>
      </w:pPr>
      <w:bookmarkStart w:id="1" w:name="_Toc98332888"/>
      <w:r w:rsidRPr="006C3298">
        <w:rPr>
          <w:rFonts w:ascii="文泉驿微米黑" w:eastAsia="文泉驿微米黑" w:hAnsi="文泉驿微米黑" w:cs="Arial Unicode MS"/>
          <w:b/>
        </w:rPr>
        <w:lastRenderedPageBreak/>
        <w:t>TiDB 简介</w:t>
      </w:r>
      <w:bookmarkEnd w:id="1"/>
    </w:p>
    <w:p w14:paraId="5FAFAAA0" w14:textId="77777777" w:rsidR="007E0E62" w:rsidRPr="006C3298" w:rsidRDefault="00571458">
      <w:pPr>
        <w:widowControl w:val="0"/>
        <w:spacing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平凯星辰（北京）科技有限公司（PingCAP）是一家企业级开源软件服务供应商，提供包括开源分布式数据库产品、解决方案及相关的咨询、支持与培训服务。致力于为用户打造稳定高效、安全可靠、开放兼容的新型数据基础设施，加速企业数字化转型升级。</w:t>
      </w:r>
    </w:p>
    <w:p w14:paraId="7131A9BE" w14:textId="77777777" w:rsidR="007E0E62" w:rsidRPr="006C3298" w:rsidRDefault="00571458">
      <w:pPr>
        <w:widowControl w:val="0"/>
        <w:spacing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Helvetica Neue"/>
          <w:sz w:val="24"/>
          <w:szCs w:val="24"/>
        </w:rPr>
        <w:t xml:space="preserve"> </w:t>
      </w:r>
    </w:p>
    <w:p w14:paraId="1949D443" w14:textId="77777777" w:rsidR="007E0E62" w:rsidRPr="006C3298" w:rsidRDefault="00571458">
      <w:pPr>
        <w:widowControl w:val="0"/>
        <w:spacing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PingCAP 自主研发的开源分布式关系型数据库 TiDB，为企业关键业务打造，具备「分布式强一致性事务、在线弹性水平扩展、故障自恢复的高可用、</w:t>
      </w:r>
      <w:proofErr w:type="gramStart"/>
      <w:r w:rsidRPr="006C3298">
        <w:rPr>
          <w:rFonts w:ascii="文泉驿微米黑" w:eastAsia="文泉驿微米黑" w:hAnsi="文泉驿微米黑" w:cs="Arial Unicode MS"/>
          <w:sz w:val="24"/>
          <w:szCs w:val="24"/>
        </w:rPr>
        <w:t>跨数据</w:t>
      </w:r>
      <w:proofErr w:type="gramEnd"/>
      <w:r w:rsidRPr="006C3298">
        <w:rPr>
          <w:rFonts w:ascii="文泉驿微米黑" w:eastAsia="文泉驿微米黑" w:hAnsi="文泉驿微米黑" w:cs="Arial Unicode MS"/>
          <w:sz w:val="24"/>
          <w:szCs w:val="24"/>
        </w:rPr>
        <w:t>中心多活」等核心特性，助力企业最大化发挥数据价值，释放企业增长空间。</w:t>
      </w:r>
    </w:p>
    <w:p w14:paraId="4060DA18" w14:textId="77777777" w:rsidR="007E0E62" w:rsidRPr="006C3298" w:rsidRDefault="00571458">
      <w:pPr>
        <w:widowControl w:val="0"/>
        <w:spacing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Helvetica Neue"/>
          <w:sz w:val="24"/>
          <w:szCs w:val="24"/>
        </w:rPr>
        <w:t xml:space="preserve"> </w:t>
      </w:r>
    </w:p>
    <w:p w14:paraId="5E9B96B2" w14:textId="77777777" w:rsidR="007E0E62" w:rsidRPr="006C3298" w:rsidRDefault="00571458">
      <w:pPr>
        <w:widowControl w:val="0"/>
        <w:spacing w:line="240" w:lineRule="auto"/>
        <w:jc w:val="both"/>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sz w:val="24"/>
          <w:szCs w:val="24"/>
        </w:rPr>
        <w:t>目前，PingCAP 已经向包括中国、美国、欧洲、日本、东南亚等国家和地区，超过 1500 家企业提供服务，涉及金融、运营商、制造、零售、互联网、政府等多个行业。</w:t>
      </w:r>
    </w:p>
    <w:p w14:paraId="11F10B8D" w14:textId="77777777" w:rsidR="007E0E62" w:rsidRPr="006C3298" w:rsidRDefault="007E0E62">
      <w:pPr>
        <w:shd w:val="clear" w:color="auto" w:fill="FFFFFF"/>
        <w:spacing w:after="240"/>
        <w:rPr>
          <w:rFonts w:ascii="文泉驿微米黑" w:eastAsia="文泉驿微米黑" w:hAnsi="文泉驿微米黑" w:cs="Helvetica Neue"/>
          <w:color w:val="30323E"/>
          <w:sz w:val="24"/>
          <w:szCs w:val="24"/>
        </w:rPr>
        <w:sectPr w:rsidR="007E0E62" w:rsidRPr="006C3298">
          <w:pgSz w:w="11909" w:h="16834"/>
          <w:pgMar w:top="1440" w:right="1440" w:bottom="1440" w:left="1440" w:header="720" w:footer="720" w:gutter="0"/>
          <w:cols w:space="720"/>
        </w:sectPr>
      </w:pPr>
    </w:p>
    <w:p w14:paraId="6754CE60" w14:textId="77777777" w:rsidR="007E0E62" w:rsidRPr="006C3298" w:rsidRDefault="00571458">
      <w:pPr>
        <w:pStyle w:val="1"/>
        <w:rPr>
          <w:rFonts w:ascii="文泉驿微米黑" w:eastAsia="文泉驿微米黑" w:hAnsi="文泉驿微米黑"/>
          <w:b/>
        </w:rPr>
      </w:pPr>
      <w:bookmarkStart w:id="2" w:name="_Toc98332889"/>
      <w:r w:rsidRPr="006C3298">
        <w:rPr>
          <w:rFonts w:ascii="文泉驿微米黑" w:eastAsia="文泉驿微米黑" w:hAnsi="文泉驿微米黑" w:cs="Arial Unicode MS"/>
          <w:b/>
        </w:rPr>
        <w:lastRenderedPageBreak/>
        <w:t>技术优势</w:t>
      </w:r>
      <w:bookmarkEnd w:id="2"/>
    </w:p>
    <w:p w14:paraId="3B7E34E2" w14:textId="77777777" w:rsidR="007E0E62" w:rsidRPr="006C3298" w:rsidRDefault="007E0E62">
      <w:pPr>
        <w:rPr>
          <w:rFonts w:ascii="文泉驿微米黑" w:eastAsia="文泉驿微米黑" w:hAnsi="文泉驿微米黑" w:cs="Helvetica Neue"/>
        </w:rPr>
      </w:pPr>
    </w:p>
    <w:p w14:paraId="73BF8D2D" w14:textId="77777777" w:rsidR="007E0E62" w:rsidRPr="006C3298" w:rsidRDefault="00571458">
      <w:pPr>
        <w:shd w:val="clear" w:color="auto" w:fill="FFFFFF"/>
        <w:spacing w:after="240"/>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与传统的单机数据库相比，TiDB 具有以下优势：</w:t>
      </w:r>
    </w:p>
    <w:p w14:paraId="1697F7B4"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纯分布式架构，拥有良好的扩展性，支持弹性的扩缩容</w:t>
      </w:r>
    </w:p>
    <w:p w14:paraId="5F066DB6"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支持 SQL，对外暴露 MySQL 的网络协议，并兼容大多数 MySQL 的语法，在大多数场景下可以直接替换 MySQL</w:t>
      </w:r>
    </w:p>
    <w:p w14:paraId="14ABB73C"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默认支持高可用，在少数副本失效的情况下，数据库本身能够自动进行数据修复和故障转移，对业务透明</w:t>
      </w:r>
    </w:p>
    <w:p w14:paraId="1AA143A7"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支持 ACID 事务，对于一些有</w:t>
      </w:r>
      <w:proofErr w:type="gramStart"/>
      <w:r w:rsidRPr="006C3298">
        <w:rPr>
          <w:rFonts w:ascii="文泉驿微米黑" w:eastAsia="文泉驿微米黑" w:hAnsi="文泉驿微米黑" w:cs="Arial Unicode MS"/>
          <w:color w:val="30323E"/>
          <w:sz w:val="24"/>
          <w:szCs w:val="24"/>
        </w:rPr>
        <w:t>强一致</w:t>
      </w:r>
      <w:proofErr w:type="gramEnd"/>
      <w:r w:rsidRPr="006C3298">
        <w:rPr>
          <w:rFonts w:ascii="文泉驿微米黑" w:eastAsia="文泉驿微米黑" w:hAnsi="文泉驿微米黑" w:cs="Arial Unicode MS"/>
          <w:color w:val="30323E"/>
          <w:sz w:val="24"/>
          <w:szCs w:val="24"/>
        </w:rPr>
        <w:t>需求的场景友好，例如：银行转账</w:t>
      </w:r>
    </w:p>
    <w:p w14:paraId="37AD22C1" w14:textId="77777777" w:rsidR="007E0E62" w:rsidRPr="006C3298" w:rsidRDefault="00571458">
      <w:pPr>
        <w:numPr>
          <w:ilvl w:val="0"/>
          <w:numId w:val="1"/>
        </w:numPr>
        <w:shd w:val="clear" w:color="auto" w:fill="FFFFFF"/>
        <w:rPr>
          <w:rFonts w:ascii="文泉驿微米黑" w:eastAsia="文泉驿微米黑" w:hAnsi="文泉驿微米黑" w:cs="Helvetica Neue"/>
        </w:rPr>
      </w:pPr>
      <w:r w:rsidRPr="006C3298">
        <w:rPr>
          <w:rFonts w:ascii="文泉驿微米黑" w:eastAsia="文泉驿微米黑" w:hAnsi="文泉驿微米黑" w:cs="Arial Unicode MS"/>
          <w:color w:val="30323E"/>
          <w:sz w:val="24"/>
          <w:szCs w:val="24"/>
        </w:rPr>
        <w:t>具有丰富的工具链生态，覆盖数据迁移、同步、备份等多种场景</w:t>
      </w:r>
    </w:p>
    <w:p w14:paraId="081B0BBA" w14:textId="77777777" w:rsidR="007E0E62" w:rsidRPr="006C3298" w:rsidRDefault="00571458">
      <w:pPr>
        <w:numPr>
          <w:ilvl w:val="0"/>
          <w:numId w:val="1"/>
        </w:numPr>
        <w:shd w:val="clear" w:color="auto" w:fill="FFFFFF"/>
        <w:spacing w:after="480"/>
        <w:rPr>
          <w:rFonts w:ascii="文泉驿微米黑" w:eastAsia="文泉驿微米黑" w:hAnsi="文泉驿微米黑" w:cs="Helvetica Neue"/>
          <w:color w:val="30323E"/>
          <w:sz w:val="24"/>
          <w:szCs w:val="24"/>
        </w:rPr>
        <w:sectPr w:rsidR="007E0E62" w:rsidRPr="006C3298">
          <w:pgSz w:w="11909" w:h="16834"/>
          <w:pgMar w:top="1440" w:right="1440" w:bottom="1440" w:left="1440" w:header="720" w:footer="720" w:gutter="0"/>
          <w:cols w:space="720"/>
        </w:sectPr>
      </w:pPr>
      <w:r w:rsidRPr="006C3298">
        <w:rPr>
          <w:rFonts w:ascii="文泉驿微米黑" w:eastAsia="文泉驿微米黑" w:hAnsi="文泉驿微米黑" w:cs="Arial Unicode MS"/>
          <w:color w:val="30323E"/>
          <w:sz w:val="24"/>
          <w:szCs w:val="24"/>
        </w:rPr>
        <w:t>支持实时</w:t>
      </w:r>
      <w:r w:rsidRPr="006C3298">
        <w:rPr>
          <w:rFonts w:ascii="文泉驿微米黑" w:eastAsia="文泉驿微米黑" w:hAnsi="文泉驿微米黑" w:cs="Arial Unicode MS"/>
          <w:color w:val="24292E"/>
          <w:sz w:val="24"/>
          <w:szCs w:val="24"/>
          <w:highlight w:val="white"/>
        </w:rPr>
        <w:t xml:space="preserve"> 在线事务与在线分析处理 (Hybrid Transactional and Analytical Processing, HTAP) 功能</w:t>
      </w:r>
    </w:p>
    <w:p w14:paraId="109D883C" w14:textId="77777777" w:rsidR="007E0E62" w:rsidRPr="006C3298" w:rsidRDefault="00571458">
      <w:pPr>
        <w:pStyle w:val="1"/>
        <w:rPr>
          <w:rFonts w:ascii="文泉驿微米黑" w:eastAsia="文泉驿微米黑" w:hAnsi="文泉驿微米黑"/>
          <w:b/>
        </w:rPr>
      </w:pPr>
      <w:bookmarkStart w:id="3" w:name="_Toc98332890"/>
      <w:r w:rsidRPr="006C3298">
        <w:rPr>
          <w:rFonts w:ascii="文泉驿微米黑" w:eastAsia="文泉驿微米黑" w:hAnsi="文泉驿微米黑" w:cs="Arial Unicode MS"/>
          <w:b/>
        </w:rPr>
        <w:lastRenderedPageBreak/>
        <w:t>产品架构</w:t>
      </w:r>
      <w:bookmarkEnd w:id="3"/>
    </w:p>
    <w:p w14:paraId="068018FA" w14:textId="77777777" w:rsidR="007E0E62" w:rsidRPr="006C3298" w:rsidRDefault="00571458">
      <w:pPr>
        <w:widowControl w:val="0"/>
        <w:shd w:val="clear" w:color="auto" w:fill="FFFFFF"/>
        <w:spacing w:after="200" w:line="240" w:lineRule="auto"/>
        <w:jc w:val="both"/>
        <w:rPr>
          <w:rFonts w:ascii="文泉驿微米黑" w:eastAsia="文泉驿微米黑" w:hAnsi="文泉驿微米黑" w:cs="Helvetica Neue"/>
          <w:color w:val="333333"/>
          <w:sz w:val="24"/>
          <w:szCs w:val="24"/>
        </w:rPr>
      </w:pPr>
      <w:r w:rsidRPr="006C3298">
        <w:rPr>
          <w:rFonts w:ascii="文泉驿微米黑" w:eastAsia="文泉驿微米黑" w:hAnsi="文泉驿微米黑" w:cs="Arial Unicode MS"/>
          <w:color w:val="333333"/>
          <w:sz w:val="24"/>
          <w:szCs w:val="24"/>
        </w:rPr>
        <w:t>近年来，随着移动互联网、云计算、大数据和人工智能等技术的飞速发展，给各行业带来了深刻的影响和变革，使得企业的数据量越来越庞大，应用的规模也越来越复杂。在这个背景之下，传统的单机数据库已经在很多场景下表现的力不从心，为了解决海量数据平台的扩展性的问题，TiDB 分布式数据库应运而生。</w:t>
      </w:r>
    </w:p>
    <w:p w14:paraId="7B4AE49E" w14:textId="77777777" w:rsidR="007E0E62" w:rsidRPr="006C3298" w:rsidRDefault="00571458">
      <w:pPr>
        <w:widowControl w:val="0"/>
        <w:shd w:val="clear" w:color="auto" w:fill="FFFFFF"/>
        <w:spacing w:after="200" w:line="24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color w:val="333333"/>
          <w:sz w:val="24"/>
          <w:szCs w:val="24"/>
          <w:highlight w:val="white"/>
        </w:rPr>
        <w:t>TiDB 分布式数据库最初的设计受到 Google 内部开发的知名分布式数据库 Spanner 和 F1 的启发，在内核设计上将整体的架构拆分成多个大的模块，大的模块之间互相通信，组成完整的 TiDB 系统，TiDB 采用 Shared-Nothing、计算存储分离的分布式集群架构，主要包括TiDB Server、TiKV Server、TiFlash Server、PD Server、TiSpark、TiCDC 等多个核心组件。</w:t>
      </w:r>
    </w:p>
    <w:p w14:paraId="03316B47"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19ED293C" w14:textId="77777777" w:rsidR="007E0E62" w:rsidRPr="006C3298" w:rsidRDefault="00571458">
      <w:pPr>
        <w:widowControl w:val="0"/>
        <w:spacing w:line="24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Helvetica Neue"/>
          <w:noProof/>
          <w:sz w:val="21"/>
          <w:szCs w:val="21"/>
        </w:rPr>
        <w:drawing>
          <wp:inline distT="114300" distB="114300" distL="114300" distR="114300" wp14:anchorId="14BAAB6B" wp14:editId="584EDAF9">
            <wp:extent cx="5731200" cy="2997200"/>
            <wp:effectExtent l="0" t="0" r="0" b="0"/>
            <wp:docPr id="5"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1"/>
                    <a:srcRect/>
                    <a:stretch>
                      <a:fillRect/>
                    </a:stretch>
                  </pic:blipFill>
                  <pic:spPr>
                    <a:xfrm>
                      <a:off x="0" y="0"/>
                      <a:ext cx="5731200" cy="2997200"/>
                    </a:xfrm>
                    <a:prstGeom prst="rect">
                      <a:avLst/>
                    </a:prstGeom>
                    <a:ln/>
                  </pic:spPr>
                </pic:pic>
              </a:graphicData>
            </a:graphic>
          </wp:inline>
        </w:drawing>
      </w:r>
    </w:p>
    <w:p w14:paraId="3A539D3E"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34C43814" w14:textId="77777777" w:rsidR="007E0E62" w:rsidRPr="006C3298" w:rsidRDefault="00571458">
      <w:pPr>
        <w:pStyle w:val="2"/>
        <w:shd w:val="clear" w:color="auto" w:fill="FFFFFF"/>
        <w:spacing w:before="240" w:after="480" w:line="240" w:lineRule="auto"/>
        <w:rPr>
          <w:rFonts w:ascii="文泉驿微米黑" w:eastAsia="文泉驿微米黑" w:hAnsi="文泉驿微米黑"/>
        </w:rPr>
      </w:pPr>
      <w:bookmarkStart w:id="4" w:name="_Toc98332891"/>
      <w:r w:rsidRPr="006C3298">
        <w:rPr>
          <w:rFonts w:ascii="文泉驿微米黑" w:eastAsia="文泉驿微米黑" w:hAnsi="文泉驿微米黑" w:cs="Arial Unicode MS"/>
        </w:rPr>
        <w:t>分布式数据库计算层</w:t>
      </w:r>
      <w:bookmarkEnd w:id="4"/>
    </w:p>
    <w:p w14:paraId="66A827F6"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计算层由 TiDB Server 和 TiSpark 组成，如下：</w:t>
      </w:r>
    </w:p>
    <w:p w14:paraId="5C11FA42"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color w:val="30323E"/>
          <w:sz w:val="24"/>
          <w:szCs w:val="24"/>
        </w:rPr>
        <w:lastRenderedPageBreak/>
        <w:drawing>
          <wp:inline distT="19050" distB="19050" distL="19050" distR="19050" wp14:anchorId="643357A6" wp14:editId="20B6694D">
            <wp:extent cx="5274000" cy="2120900"/>
            <wp:effectExtent l="0" t="0" r="0" b="0"/>
            <wp:docPr id="16"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2"/>
                    <a:srcRect/>
                    <a:stretch>
                      <a:fillRect/>
                    </a:stretch>
                  </pic:blipFill>
                  <pic:spPr>
                    <a:xfrm>
                      <a:off x="0" y="0"/>
                      <a:ext cx="5274000" cy="2120900"/>
                    </a:xfrm>
                    <a:prstGeom prst="rect">
                      <a:avLst/>
                    </a:prstGeom>
                    <a:ln/>
                  </pic:spPr>
                </pic:pic>
              </a:graphicData>
            </a:graphic>
          </wp:inline>
        </w:drawing>
      </w:r>
    </w:p>
    <w:p w14:paraId="38BA936A"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 xml:space="preserve">TiDB Server 是 TiDB 的 SQL 层，由多个 TiDB Server 组件组成，对外暴露 MySQL 协议的连接 endpoint，负责接受客户端的连接，执行 SQL 解析和优化，最终生成分布式执行计划。TiDB </w:t>
      </w:r>
      <w:proofErr w:type="gramStart"/>
      <w:r w:rsidRPr="006C3298">
        <w:rPr>
          <w:rFonts w:ascii="文泉驿微米黑" w:eastAsia="文泉驿微米黑" w:hAnsi="文泉驿微米黑" w:cs="Arial Unicode MS"/>
          <w:color w:val="30323E"/>
          <w:sz w:val="24"/>
          <w:szCs w:val="24"/>
        </w:rPr>
        <w:t>层本身</w:t>
      </w:r>
      <w:proofErr w:type="gramEnd"/>
      <w:r w:rsidRPr="006C3298">
        <w:rPr>
          <w:rFonts w:ascii="文泉驿微米黑" w:eastAsia="文泉驿微米黑" w:hAnsi="文泉驿微米黑" w:cs="Arial Unicode MS"/>
          <w:color w:val="30323E"/>
          <w:sz w:val="24"/>
          <w:szCs w:val="24"/>
        </w:rPr>
        <w:t>是无状态的，实践中可以启动多个 TiDB 实例，通过负载均衡组件（如 LVS、HAProxy 或 F5）对外提供统一的接入地址，客户端的连接可以均匀地分摊在多个 TiDB 实例上以达到负载均衡的效果。TiDB Server 本身并不存储数据，只是解析 SQL，将实际的数据读取请求转发给底层的存储节点 TiKV 或者 TiFlash。</w:t>
      </w:r>
    </w:p>
    <w:p w14:paraId="68B61063" w14:textId="77777777" w:rsidR="007E0E62" w:rsidRPr="006C3298" w:rsidRDefault="00571458">
      <w:pPr>
        <w:tabs>
          <w:tab w:val="left" w:pos="1140"/>
        </w:tabs>
        <w:spacing w:line="240" w:lineRule="auto"/>
        <w:ind w:firstLine="420"/>
        <w:jc w:val="center"/>
        <w:rPr>
          <w:rFonts w:ascii="文泉驿微米黑" w:eastAsia="文泉驿微米黑" w:hAnsi="文泉驿微米黑" w:cs="Helvetica Neue"/>
          <w:color w:val="000080"/>
          <w:sz w:val="24"/>
          <w:szCs w:val="24"/>
        </w:rPr>
      </w:pPr>
      <w:r w:rsidRPr="006C3298">
        <w:rPr>
          <w:rFonts w:ascii="文泉驿微米黑" w:eastAsia="文泉驿微米黑" w:hAnsi="文泉驿微米黑" w:cs="Helvetica Neue"/>
          <w:noProof/>
          <w:color w:val="000080"/>
          <w:sz w:val="24"/>
          <w:szCs w:val="24"/>
        </w:rPr>
        <w:drawing>
          <wp:inline distT="0" distB="0" distL="0" distR="0" wp14:anchorId="10F27B54" wp14:editId="4171FC83">
            <wp:extent cx="5274000" cy="3187700"/>
            <wp:effectExtent l="0" t="0" r="0" b="0"/>
            <wp:docPr id="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a:stretch>
                      <a:fillRect/>
                    </a:stretch>
                  </pic:blipFill>
                  <pic:spPr>
                    <a:xfrm>
                      <a:off x="0" y="0"/>
                      <a:ext cx="5274000" cy="3187700"/>
                    </a:xfrm>
                    <a:prstGeom prst="rect">
                      <a:avLst/>
                    </a:prstGeom>
                    <a:ln/>
                  </pic:spPr>
                </pic:pic>
              </a:graphicData>
            </a:graphic>
          </wp:inline>
        </w:drawing>
      </w:r>
    </w:p>
    <w:p w14:paraId="2B9F9FBA" w14:textId="77777777" w:rsidR="007E0E62" w:rsidRPr="006C3298" w:rsidRDefault="007E0E62">
      <w:pPr>
        <w:tabs>
          <w:tab w:val="left" w:pos="1140"/>
        </w:tabs>
        <w:spacing w:line="240" w:lineRule="auto"/>
        <w:ind w:firstLine="420"/>
        <w:jc w:val="center"/>
        <w:rPr>
          <w:rFonts w:ascii="文泉驿微米黑" w:eastAsia="文泉驿微米黑" w:hAnsi="文泉驿微米黑" w:cs="Helvetica Neue"/>
          <w:color w:val="000080"/>
          <w:sz w:val="24"/>
          <w:szCs w:val="24"/>
        </w:rPr>
      </w:pPr>
    </w:p>
    <w:p w14:paraId="25BF5C6B"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highlight w:val="white"/>
        </w:rPr>
      </w:pPr>
      <w:r w:rsidRPr="006C3298">
        <w:rPr>
          <w:rFonts w:ascii="文泉驿微米黑" w:eastAsia="文泉驿微米黑" w:hAnsi="文泉驿微米黑" w:cs="Arial Unicode MS"/>
          <w:color w:val="30323E"/>
          <w:sz w:val="24"/>
          <w:szCs w:val="24"/>
        </w:rPr>
        <w:t>TiSpark 是</w:t>
      </w:r>
      <w:r w:rsidRPr="006C3298">
        <w:rPr>
          <w:rFonts w:ascii="文泉驿微米黑" w:eastAsia="文泉驿微米黑" w:hAnsi="文泉驿微米黑" w:cs="Arial Unicode MS"/>
          <w:color w:val="30323E"/>
          <w:sz w:val="24"/>
          <w:szCs w:val="24"/>
          <w:highlight w:val="white"/>
        </w:rPr>
        <w:t>解决用户复杂 OLAP 需求而推出的产品。它借助 Spark 平台，同时融合 TiKV 分布式集群的优势，和 TiDB 一起为用户一站</w:t>
      </w:r>
      <w:proofErr w:type="gramStart"/>
      <w:r w:rsidRPr="006C3298">
        <w:rPr>
          <w:rFonts w:ascii="文泉驿微米黑" w:eastAsia="文泉驿微米黑" w:hAnsi="文泉驿微米黑" w:cs="Arial Unicode MS"/>
          <w:color w:val="30323E"/>
          <w:sz w:val="24"/>
          <w:szCs w:val="24"/>
          <w:highlight w:val="white"/>
        </w:rPr>
        <w:t>式解决</w:t>
      </w:r>
      <w:proofErr w:type="gramEnd"/>
      <w:r w:rsidRPr="006C3298">
        <w:rPr>
          <w:rFonts w:ascii="文泉驿微米黑" w:eastAsia="文泉驿微米黑" w:hAnsi="文泉驿微米黑" w:cs="Arial Unicode MS"/>
          <w:color w:val="30323E"/>
          <w:sz w:val="24"/>
          <w:szCs w:val="24"/>
          <w:highlight w:val="white"/>
        </w:rPr>
        <w:t xml:space="preserve"> HTAP (Hybrid Transactional/Analytical Processing) 的需求。将 Spark SQL 直接运行在分布式存储引擎 TiKV 上的 OLAP 解决方案。深度整合了 Spark Catalyst 引擎, 可以对计算提供精确的控制，使 Spark 能够高效的读取 TiKV 中的数据，提供索引支持以实现高速的点查。通过多种计算下</w:t>
      </w:r>
      <w:proofErr w:type="gramStart"/>
      <w:r w:rsidRPr="006C3298">
        <w:rPr>
          <w:rFonts w:ascii="文泉驿微米黑" w:eastAsia="文泉驿微米黑" w:hAnsi="文泉驿微米黑" w:cs="Arial Unicode MS"/>
          <w:color w:val="30323E"/>
          <w:sz w:val="24"/>
          <w:szCs w:val="24"/>
          <w:highlight w:val="white"/>
        </w:rPr>
        <w:t>推</w:t>
      </w:r>
      <w:r w:rsidRPr="006C3298">
        <w:rPr>
          <w:rFonts w:ascii="文泉驿微米黑" w:eastAsia="文泉驿微米黑" w:hAnsi="文泉驿微米黑" w:cs="Arial Unicode MS"/>
          <w:color w:val="30323E"/>
          <w:sz w:val="24"/>
          <w:szCs w:val="24"/>
          <w:highlight w:val="white"/>
        </w:rPr>
        <w:lastRenderedPageBreak/>
        <w:t>减少</w:t>
      </w:r>
      <w:proofErr w:type="gramEnd"/>
      <w:r w:rsidRPr="006C3298">
        <w:rPr>
          <w:rFonts w:ascii="文泉驿微米黑" w:eastAsia="文泉驿微米黑" w:hAnsi="文泉驿微米黑" w:cs="Arial Unicode MS"/>
          <w:color w:val="30323E"/>
          <w:sz w:val="24"/>
          <w:szCs w:val="24"/>
          <w:highlight w:val="white"/>
        </w:rPr>
        <w:t xml:space="preserve"> Spark SQL 需要处理的数据大小，以加速查询；利用 TiDB 的内建的统计信息选择更优的查询计划。从数据集群的角度看，TiSpark + TiDB 可以让用户无需进行脆弱和难以维护的 ETL。</w:t>
      </w:r>
    </w:p>
    <w:p w14:paraId="3949310A" w14:textId="77777777" w:rsidR="007E0E62" w:rsidRPr="006C3298" w:rsidRDefault="00571458">
      <w:pPr>
        <w:pStyle w:val="2"/>
        <w:shd w:val="clear" w:color="auto" w:fill="FFFFFF"/>
        <w:spacing w:before="240" w:after="480" w:line="240" w:lineRule="auto"/>
        <w:rPr>
          <w:rFonts w:ascii="文泉驿微米黑" w:eastAsia="文泉驿微米黑" w:hAnsi="文泉驿微米黑"/>
        </w:rPr>
      </w:pPr>
      <w:bookmarkStart w:id="5" w:name="_Toc98332892"/>
      <w:r w:rsidRPr="006C3298">
        <w:rPr>
          <w:rFonts w:ascii="文泉驿微米黑" w:eastAsia="文泉驿微米黑" w:hAnsi="文泉驿微米黑" w:cs="Arial Unicode MS"/>
        </w:rPr>
        <w:t>分布式数据库存储层</w:t>
      </w:r>
      <w:bookmarkEnd w:id="5"/>
    </w:p>
    <w:p w14:paraId="47EB2100"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存储层由行存储和列存储服务组成，如下：</w:t>
      </w:r>
    </w:p>
    <w:p w14:paraId="225DEB12" w14:textId="77777777" w:rsidR="007E0E62" w:rsidRPr="006C3298" w:rsidRDefault="00571458">
      <w:pPr>
        <w:spacing w:line="240" w:lineRule="auto"/>
        <w:ind w:left="360"/>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sz w:val="24"/>
          <w:szCs w:val="24"/>
        </w:rPr>
        <w:drawing>
          <wp:inline distT="0" distB="0" distL="0" distR="0" wp14:anchorId="4CF113DE" wp14:editId="5794032A">
            <wp:extent cx="4956175" cy="2637155"/>
            <wp:effectExtent l="0" t="0" r="0" b="0"/>
            <wp:docPr id="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4956175" cy="2637155"/>
                    </a:xfrm>
                    <a:prstGeom prst="rect">
                      <a:avLst/>
                    </a:prstGeom>
                    <a:ln/>
                  </pic:spPr>
                </pic:pic>
              </a:graphicData>
            </a:graphic>
          </wp:inline>
        </w:drawing>
      </w:r>
    </w:p>
    <w:p w14:paraId="080FE4DD"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TiKV 是行存储服务，由多个 tikv-server 组成，从外部看 TiKV 是一个分布式的提供事务的 Key-Value 存储引擎。存储数据的基本单位是 Region，每个 Region 负责存储一个 Key Range（从 StartKey 到 EndKey 的</w:t>
      </w:r>
      <w:proofErr w:type="gramStart"/>
      <w:r w:rsidRPr="006C3298">
        <w:rPr>
          <w:rFonts w:ascii="文泉驿微米黑" w:eastAsia="文泉驿微米黑" w:hAnsi="文泉驿微米黑" w:cs="Arial Unicode MS"/>
          <w:color w:val="30323E"/>
          <w:sz w:val="24"/>
          <w:szCs w:val="24"/>
        </w:rPr>
        <w:t>左闭右开区间</w:t>
      </w:r>
      <w:proofErr w:type="gramEnd"/>
      <w:r w:rsidRPr="006C3298">
        <w:rPr>
          <w:rFonts w:ascii="文泉驿微米黑" w:eastAsia="文泉驿微米黑" w:hAnsi="文泉驿微米黑" w:cs="Arial Unicode MS"/>
          <w:color w:val="30323E"/>
          <w:sz w:val="24"/>
          <w:szCs w:val="24"/>
        </w:rPr>
        <w:t>）的数据，每个 TiKV 节点会负责多个 Region。TiKV 的 API 在 KV 键值对层面提供对分布式事务的原生支持，默认提供了 SI (Snapshot Isolation) 的隔离级别，这也是 TiDB 在 SQL 层面支持分布式事务的核心。TiDB 的 SQL 层做完 SQL 解析后，会将 SQL 的执行计划转换为对 TiKV API 的实际调用。所以，数据都存储在 TiKV 中。另外，TiKV 中的数据都会自动维护多副本（默认为三副本），</w:t>
      </w:r>
      <w:proofErr w:type="gramStart"/>
      <w:r w:rsidRPr="006C3298">
        <w:rPr>
          <w:rFonts w:ascii="文泉驿微米黑" w:eastAsia="文泉驿微米黑" w:hAnsi="文泉驿微米黑" w:cs="Arial Unicode MS"/>
          <w:color w:val="30323E"/>
          <w:sz w:val="24"/>
          <w:szCs w:val="24"/>
        </w:rPr>
        <w:t>天然支持</w:t>
      </w:r>
      <w:proofErr w:type="gramEnd"/>
      <w:r w:rsidRPr="006C3298">
        <w:rPr>
          <w:rFonts w:ascii="文泉驿微米黑" w:eastAsia="文泉驿微米黑" w:hAnsi="文泉驿微米黑" w:cs="Arial Unicode MS"/>
          <w:color w:val="30323E"/>
          <w:sz w:val="24"/>
          <w:szCs w:val="24"/>
        </w:rPr>
        <w:t>高可用和自动故障转移。</w:t>
      </w:r>
    </w:p>
    <w:p w14:paraId="64CBA529"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color w:val="30323E"/>
          <w:sz w:val="24"/>
          <w:szCs w:val="24"/>
        </w:rPr>
        <w:lastRenderedPageBreak/>
        <w:drawing>
          <wp:inline distT="114300" distB="114300" distL="114300" distR="114300" wp14:anchorId="644A4217" wp14:editId="0FD65269">
            <wp:extent cx="5274000" cy="25527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5"/>
                    <a:srcRect/>
                    <a:stretch>
                      <a:fillRect/>
                    </a:stretch>
                  </pic:blipFill>
                  <pic:spPr>
                    <a:xfrm>
                      <a:off x="0" y="0"/>
                      <a:ext cx="5274000" cy="2552700"/>
                    </a:xfrm>
                    <a:prstGeom prst="rect">
                      <a:avLst/>
                    </a:prstGeom>
                    <a:ln/>
                  </pic:spPr>
                </pic:pic>
              </a:graphicData>
            </a:graphic>
          </wp:inline>
        </w:drawing>
      </w:r>
    </w:p>
    <w:p w14:paraId="738BFC8B" w14:textId="77777777" w:rsidR="007E0E62" w:rsidRPr="006C3298" w:rsidRDefault="00571458">
      <w:pPr>
        <w:widowControl w:val="0"/>
        <w:shd w:val="clear" w:color="auto" w:fill="FFFFFF"/>
        <w:spacing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 xml:space="preserve">TiFlash 是列存储服务，由多个 tiflash-server 组件组成，TiFash 与普通的 TiKV 基本是一样的，不同之处在于，TiFlash 提供列式存储，借助 </w:t>
      </w:r>
      <w:r w:rsidRPr="006C3298">
        <w:rPr>
          <w:rFonts w:ascii="文泉驿微米黑" w:eastAsia="文泉驿微米黑" w:hAnsi="文泉驿微米黑" w:cs="Arial Unicode MS"/>
          <w:color w:val="30323E"/>
          <w:sz w:val="24"/>
          <w:szCs w:val="24"/>
          <w:highlight w:val="white"/>
        </w:rPr>
        <w:t>ClickHouse 实现高效的协处理器层、MPP 架构使分析的性能</w:t>
      </w:r>
      <w:proofErr w:type="gramStart"/>
      <w:r w:rsidRPr="006C3298">
        <w:rPr>
          <w:rFonts w:ascii="文泉驿微米黑" w:eastAsia="文泉驿微米黑" w:hAnsi="文泉驿微米黑" w:cs="Arial Unicode MS"/>
          <w:color w:val="30323E"/>
          <w:sz w:val="24"/>
          <w:szCs w:val="24"/>
          <w:highlight w:val="white"/>
        </w:rPr>
        <w:t>能</w:t>
      </w:r>
      <w:proofErr w:type="gramEnd"/>
      <w:r w:rsidRPr="006C3298">
        <w:rPr>
          <w:rFonts w:ascii="文泉驿微米黑" w:eastAsia="文泉驿微米黑" w:hAnsi="文泉驿微米黑" w:cs="Arial Unicode MS"/>
          <w:color w:val="30323E"/>
          <w:sz w:val="24"/>
          <w:szCs w:val="24"/>
          <w:highlight w:val="white"/>
        </w:rPr>
        <w:t>得到很好的加速。TiFlash 以 Raft Learner 角色加入 TiKV 并</w:t>
      </w:r>
      <w:proofErr w:type="gramStart"/>
      <w:r w:rsidRPr="006C3298">
        <w:rPr>
          <w:rFonts w:ascii="文泉驿微米黑" w:eastAsia="文泉驿微米黑" w:hAnsi="文泉驿微米黑" w:cs="Arial Unicode MS"/>
          <w:color w:val="30323E"/>
          <w:sz w:val="24"/>
          <w:szCs w:val="24"/>
          <w:highlight w:val="white"/>
        </w:rPr>
        <w:t>进行进行</w:t>
      </w:r>
      <w:proofErr w:type="gramEnd"/>
      <w:r w:rsidRPr="006C3298">
        <w:rPr>
          <w:rFonts w:ascii="文泉驿微米黑" w:eastAsia="文泉驿微米黑" w:hAnsi="文泉驿微米黑" w:cs="Arial Unicode MS"/>
          <w:color w:val="30323E"/>
          <w:sz w:val="24"/>
          <w:szCs w:val="24"/>
          <w:highlight w:val="white"/>
        </w:rPr>
        <w:t>异步的数据复制，当 TiFlash 节点</w:t>
      </w:r>
      <w:proofErr w:type="gramStart"/>
      <w:r w:rsidRPr="006C3298">
        <w:rPr>
          <w:rFonts w:ascii="文泉驿微米黑" w:eastAsia="文泉驿微米黑" w:hAnsi="文泉驿微米黑" w:cs="Arial Unicode MS"/>
          <w:color w:val="30323E"/>
          <w:sz w:val="24"/>
          <w:szCs w:val="24"/>
          <w:highlight w:val="white"/>
        </w:rPr>
        <w:t>宕</w:t>
      </w:r>
      <w:proofErr w:type="gramEnd"/>
      <w:r w:rsidRPr="006C3298">
        <w:rPr>
          <w:rFonts w:ascii="文泉驿微米黑" w:eastAsia="文泉驿微米黑" w:hAnsi="文泉驿微米黑" w:cs="Arial Unicode MS"/>
          <w:color w:val="30323E"/>
          <w:sz w:val="24"/>
          <w:szCs w:val="24"/>
          <w:highlight w:val="white"/>
        </w:rPr>
        <w:t>机或者网络高延迟等状况发生时，TiKV 的业务仍然能确保正常进行。TiFlash 支持快照隔离，保证读取到最新的数据。读取数据时 TiDB 根据统计信息并计算出代价，自动选择从 TiFlash 或者 TiKV 读取数据，用户对此完全无感知。</w:t>
      </w:r>
    </w:p>
    <w:p w14:paraId="5C645ADA" w14:textId="77777777" w:rsidR="007E0E62" w:rsidRPr="006C3298" w:rsidRDefault="00571458">
      <w:pPr>
        <w:pStyle w:val="2"/>
        <w:shd w:val="clear" w:color="auto" w:fill="FFFFFF"/>
        <w:spacing w:before="240" w:after="480" w:line="240" w:lineRule="auto"/>
        <w:rPr>
          <w:rFonts w:ascii="文泉驿微米黑" w:eastAsia="文泉驿微米黑" w:hAnsi="文泉驿微米黑"/>
        </w:rPr>
      </w:pPr>
      <w:bookmarkStart w:id="6" w:name="_Toc98332893"/>
      <w:r w:rsidRPr="006C3298">
        <w:rPr>
          <w:rFonts w:ascii="文泉驿微米黑" w:eastAsia="文泉驿微米黑" w:hAnsi="文泉驿微米黑" w:cs="Arial Unicode MS"/>
        </w:rPr>
        <w:t>分布式数据库调度层</w:t>
      </w:r>
      <w:bookmarkEnd w:id="6"/>
    </w:p>
    <w:p w14:paraId="10FE4EDD" w14:textId="77777777" w:rsidR="007E0E62" w:rsidRPr="006C3298" w:rsidRDefault="00571458">
      <w:pPr>
        <w:spacing w:line="240" w:lineRule="auto"/>
        <w:ind w:left="360"/>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sz w:val="24"/>
          <w:szCs w:val="24"/>
        </w:rPr>
        <w:drawing>
          <wp:inline distT="0" distB="0" distL="0" distR="0" wp14:anchorId="2C2448C2" wp14:editId="07080050">
            <wp:extent cx="4956175" cy="2610485"/>
            <wp:effectExtent l="0" t="0" r="0" b="0"/>
            <wp:docPr id="4" name="image9.png" descr="https://lh6.googleusercontent.com/1xShuNLgj3sLGbHzyqBTfe5XMg2IotmLlrJydA-8Qe8To64UElyzLDxIFIOH2n80-V8JMOg48_JTKCUMUb2-hc-tp1STgDeiPVwm_k5NuXNfhbbZb6zM0eOeCwSs3y9qLaZepSUd1_E"/>
            <wp:cNvGraphicFramePr/>
            <a:graphic xmlns:a="http://schemas.openxmlformats.org/drawingml/2006/main">
              <a:graphicData uri="http://schemas.openxmlformats.org/drawingml/2006/picture">
                <pic:pic xmlns:pic="http://schemas.openxmlformats.org/drawingml/2006/picture">
                  <pic:nvPicPr>
                    <pic:cNvPr id="0" name="image9.png" descr="https://lh6.googleusercontent.com/1xShuNLgj3sLGbHzyqBTfe5XMg2IotmLlrJydA-8Qe8To64UElyzLDxIFIOH2n80-V8JMOg48_JTKCUMUb2-hc-tp1STgDeiPVwm_k5NuXNfhbbZb6zM0eOeCwSs3y9qLaZepSUd1_E"/>
                    <pic:cNvPicPr preferRelativeResize="0"/>
                  </pic:nvPicPr>
                  <pic:blipFill>
                    <a:blip r:embed="rId16"/>
                    <a:srcRect/>
                    <a:stretch>
                      <a:fillRect/>
                    </a:stretch>
                  </pic:blipFill>
                  <pic:spPr>
                    <a:xfrm>
                      <a:off x="0" y="0"/>
                      <a:ext cx="4956175" cy="2610485"/>
                    </a:xfrm>
                    <a:prstGeom prst="rect">
                      <a:avLst/>
                    </a:prstGeom>
                    <a:ln/>
                  </pic:spPr>
                </pic:pic>
              </a:graphicData>
            </a:graphic>
          </wp:inline>
        </w:drawing>
      </w:r>
    </w:p>
    <w:p w14:paraId="07243CD2" w14:textId="77777777" w:rsidR="007E0E62" w:rsidRPr="006C3298" w:rsidRDefault="00571458">
      <w:pPr>
        <w:widowControl w:val="0"/>
        <w:shd w:val="clear" w:color="auto" w:fill="FFFFFF"/>
        <w:spacing w:before="60" w:after="480" w:line="240" w:lineRule="auto"/>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30323E"/>
          <w:sz w:val="24"/>
          <w:szCs w:val="24"/>
        </w:rPr>
        <w:t xml:space="preserve">调度层是整个 TiDB 集群的元信息管理模块，由 pd-server 组件组成，负责存储每个 TiKV 或者 TiFlash 节点实时的数据分布情况和集群的整体拓扑结构，提供 TiDB Dashboard 管控界面，并为分布式事务分配事务 ID。PD 不仅存储元信息，同时还会根据 TiKV </w:t>
      </w:r>
      <w:r w:rsidRPr="006C3298">
        <w:rPr>
          <w:rFonts w:ascii="文泉驿微米黑" w:eastAsia="文泉驿微米黑" w:hAnsi="文泉驿微米黑" w:cs="Arial Unicode MS"/>
          <w:color w:val="30323E"/>
          <w:sz w:val="24"/>
          <w:szCs w:val="24"/>
        </w:rPr>
        <w:lastRenderedPageBreak/>
        <w:t xml:space="preserve">或者 TiFlash 节点实时上报的数据分布状态，下发数据调度命令给具体的 TiKV  或者 TiFlash 节点，可以说是整个集群的“大脑”。此外，PD 本身也是由至少 3 </w:t>
      </w:r>
      <w:proofErr w:type="gramStart"/>
      <w:r w:rsidRPr="006C3298">
        <w:rPr>
          <w:rFonts w:ascii="文泉驿微米黑" w:eastAsia="文泉驿微米黑" w:hAnsi="文泉驿微米黑" w:cs="Arial Unicode MS"/>
          <w:color w:val="30323E"/>
          <w:sz w:val="24"/>
          <w:szCs w:val="24"/>
        </w:rPr>
        <w:t>个</w:t>
      </w:r>
      <w:proofErr w:type="gramEnd"/>
      <w:r w:rsidRPr="006C3298">
        <w:rPr>
          <w:rFonts w:ascii="文泉驿微米黑" w:eastAsia="文泉驿微米黑" w:hAnsi="文泉驿微米黑" w:cs="Arial Unicode MS"/>
          <w:color w:val="30323E"/>
          <w:sz w:val="24"/>
          <w:szCs w:val="24"/>
        </w:rPr>
        <w:t>节点构成，拥有高可用的能力。建议部署奇数</w:t>
      </w:r>
      <w:proofErr w:type="gramStart"/>
      <w:r w:rsidRPr="006C3298">
        <w:rPr>
          <w:rFonts w:ascii="文泉驿微米黑" w:eastAsia="文泉驿微米黑" w:hAnsi="文泉驿微米黑" w:cs="Arial Unicode MS"/>
          <w:color w:val="30323E"/>
          <w:sz w:val="24"/>
          <w:szCs w:val="24"/>
        </w:rPr>
        <w:t>个</w:t>
      </w:r>
      <w:proofErr w:type="gramEnd"/>
      <w:r w:rsidRPr="006C3298">
        <w:rPr>
          <w:rFonts w:ascii="文泉驿微米黑" w:eastAsia="文泉驿微米黑" w:hAnsi="文泉驿微米黑" w:cs="Arial Unicode MS"/>
          <w:color w:val="30323E"/>
          <w:sz w:val="24"/>
          <w:szCs w:val="24"/>
        </w:rPr>
        <w:t xml:space="preserve"> PD 节点。</w:t>
      </w:r>
    </w:p>
    <w:p w14:paraId="143DF12D" w14:textId="77777777" w:rsidR="007E0E62" w:rsidRPr="006C3298" w:rsidRDefault="00571458">
      <w:pPr>
        <w:pStyle w:val="2"/>
        <w:shd w:val="clear" w:color="auto" w:fill="FFFFFF"/>
        <w:spacing w:after="240"/>
        <w:rPr>
          <w:rFonts w:ascii="文泉驿微米黑" w:eastAsia="文泉驿微米黑" w:hAnsi="文泉驿微米黑"/>
        </w:rPr>
      </w:pPr>
      <w:bookmarkStart w:id="7" w:name="_Toc98332894"/>
      <w:r w:rsidRPr="006C3298">
        <w:rPr>
          <w:rFonts w:ascii="文泉驿微米黑" w:eastAsia="文泉驿微米黑" w:hAnsi="文泉驿微米黑" w:cs="Arial Unicode MS"/>
        </w:rPr>
        <w:t>TiDB HTAP 架构</w:t>
      </w:r>
      <w:bookmarkEnd w:id="7"/>
    </w:p>
    <w:p w14:paraId="2759F742" w14:textId="77777777" w:rsidR="007E0E62" w:rsidRPr="006C3298" w:rsidRDefault="00571458">
      <w:pPr>
        <w:shd w:val="clear" w:color="auto" w:fill="FFFFFF"/>
        <w:spacing w:after="240"/>
        <w:rPr>
          <w:rFonts w:ascii="文泉驿微米黑" w:eastAsia="文泉驿微米黑" w:hAnsi="文泉驿微米黑"/>
          <w:color w:val="24292E"/>
          <w:sz w:val="24"/>
          <w:szCs w:val="24"/>
        </w:rPr>
      </w:pPr>
      <w:r w:rsidRPr="006C3298">
        <w:rPr>
          <w:rFonts w:ascii="文泉驿微米黑" w:eastAsia="文泉驿微米黑" w:hAnsi="文泉驿微米黑" w:cs="Arial Unicode MS"/>
          <w:color w:val="24292E"/>
          <w:sz w:val="24"/>
          <w:szCs w:val="24"/>
        </w:rPr>
        <w:t>TiDB HTAP 可以满足企业海量数据的增产需求、降低运维的风险成本、与现有的大数据</w:t>
      </w:r>
      <w:proofErr w:type="gramStart"/>
      <w:r w:rsidRPr="006C3298">
        <w:rPr>
          <w:rFonts w:ascii="文泉驿微米黑" w:eastAsia="文泉驿微米黑" w:hAnsi="文泉驿微米黑" w:cs="Arial Unicode MS"/>
          <w:color w:val="24292E"/>
          <w:sz w:val="24"/>
          <w:szCs w:val="24"/>
        </w:rPr>
        <w:t>栈</w:t>
      </w:r>
      <w:proofErr w:type="gramEnd"/>
      <w:r w:rsidRPr="006C3298">
        <w:rPr>
          <w:rFonts w:ascii="文泉驿微米黑" w:eastAsia="文泉驿微米黑" w:hAnsi="文泉驿微米黑" w:cs="Arial Unicode MS"/>
          <w:color w:val="24292E"/>
          <w:sz w:val="24"/>
          <w:szCs w:val="24"/>
        </w:rPr>
        <w:t>无缝缝合，从而实现数据资产价值的实时变现。</w:t>
      </w:r>
    </w:p>
    <w:p w14:paraId="416F6363" w14:textId="77777777" w:rsidR="007E0E62" w:rsidRPr="006C3298" w:rsidRDefault="00571458">
      <w:pPr>
        <w:shd w:val="clear" w:color="auto" w:fill="FFFFFF"/>
        <w:spacing w:after="240"/>
        <w:rPr>
          <w:rFonts w:ascii="文泉驿微米黑" w:eastAsia="文泉驿微米黑" w:hAnsi="文泉驿微米黑"/>
          <w:color w:val="24292E"/>
          <w:sz w:val="24"/>
          <w:szCs w:val="24"/>
        </w:rPr>
      </w:pPr>
      <w:r w:rsidRPr="006C3298">
        <w:rPr>
          <w:rFonts w:ascii="文泉驿微米黑" w:eastAsia="文泉驿微米黑" w:hAnsi="文泉驿微米黑" w:cs="Arial Unicode MS"/>
          <w:color w:val="24292E"/>
          <w:sz w:val="24"/>
          <w:szCs w:val="24"/>
        </w:rPr>
        <w:t>以下是三种 HTAP 典型适用场景：</w:t>
      </w:r>
    </w:p>
    <w:p w14:paraId="6944A095" w14:textId="77777777" w:rsidR="007E0E62" w:rsidRPr="006C3298" w:rsidRDefault="00571458">
      <w:pPr>
        <w:numPr>
          <w:ilvl w:val="0"/>
          <w:numId w:val="17"/>
        </w:numPr>
        <w:shd w:val="clear" w:color="auto" w:fill="FFFFFF"/>
        <w:rPr>
          <w:rFonts w:ascii="文泉驿微米黑" w:eastAsia="文泉驿微米黑" w:hAnsi="文泉驿微米黑"/>
        </w:rPr>
      </w:pPr>
      <w:r w:rsidRPr="006C3298">
        <w:rPr>
          <w:rFonts w:ascii="文泉驿微米黑" w:eastAsia="文泉驿微米黑" w:hAnsi="文泉驿微米黑" w:cs="Arial Unicode MS"/>
          <w:color w:val="24292E"/>
          <w:sz w:val="24"/>
          <w:szCs w:val="24"/>
        </w:rPr>
        <w:t>混合负载场景</w:t>
      </w:r>
      <w:r w:rsidRPr="006C3298">
        <w:rPr>
          <w:rFonts w:ascii="文泉驿微米黑" w:eastAsia="文泉驿微米黑" w:hAnsi="文泉驿微米黑" w:cs="Arial Unicode MS"/>
          <w:color w:val="24292E"/>
          <w:sz w:val="24"/>
          <w:szCs w:val="24"/>
        </w:rPr>
        <w:br/>
        <w:t>当将 TiDB 应用于在线实时分析处理的混合负载场景时，开发人员只需要提供一个入口，TiDB 将自动根据业务类型选择不同的处理引擎。</w:t>
      </w:r>
    </w:p>
    <w:p w14:paraId="08D1693F" w14:textId="77777777" w:rsidR="007E0E62" w:rsidRPr="006C3298" w:rsidRDefault="00571458">
      <w:pPr>
        <w:numPr>
          <w:ilvl w:val="0"/>
          <w:numId w:val="17"/>
        </w:numPr>
        <w:shd w:val="clear" w:color="auto" w:fill="FFFFFF"/>
        <w:rPr>
          <w:rFonts w:ascii="文泉驿微米黑" w:eastAsia="文泉驿微米黑" w:hAnsi="文泉驿微米黑"/>
        </w:rPr>
      </w:pPr>
      <w:r w:rsidRPr="006C3298">
        <w:rPr>
          <w:rFonts w:ascii="文泉驿微米黑" w:eastAsia="文泉驿微米黑" w:hAnsi="文泉驿微米黑" w:cs="Arial Unicode MS"/>
          <w:color w:val="24292E"/>
          <w:sz w:val="24"/>
          <w:szCs w:val="24"/>
        </w:rPr>
        <w:t>实时</w:t>
      </w:r>
      <w:proofErr w:type="gramStart"/>
      <w:r w:rsidRPr="006C3298">
        <w:rPr>
          <w:rFonts w:ascii="文泉驿微米黑" w:eastAsia="文泉驿微米黑" w:hAnsi="文泉驿微米黑" w:cs="Arial Unicode MS"/>
          <w:color w:val="24292E"/>
          <w:sz w:val="24"/>
          <w:szCs w:val="24"/>
        </w:rPr>
        <w:t>流处理</w:t>
      </w:r>
      <w:proofErr w:type="gramEnd"/>
      <w:r w:rsidRPr="006C3298">
        <w:rPr>
          <w:rFonts w:ascii="文泉驿微米黑" w:eastAsia="文泉驿微米黑" w:hAnsi="文泉驿微米黑" w:cs="Arial Unicode MS"/>
          <w:color w:val="24292E"/>
          <w:sz w:val="24"/>
          <w:szCs w:val="24"/>
        </w:rPr>
        <w:t>场景</w:t>
      </w:r>
      <w:r w:rsidRPr="006C3298">
        <w:rPr>
          <w:rFonts w:ascii="文泉驿微米黑" w:eastAsia="文泉驿微米黑" w:hAnsi="文泉驿微米黑" w:cs="Arial Unicode MS"/>
          <w:color w:val="24292E"/>
          <w:sz w:val="24"/>
          <w:szCs w:val="24"/>
        </w:rPr>
        <w:br/>
        <w:t>当将 TiDB 应用于实时</w:t>
      </w:r>
      <w:proofErr w:type="gramStart"/>
      <w:r w:rsidRPr="006C3298">
        <w:rPr>
          <w:rFonts w:ascii="文泉驿微米黑" w:eastAsia="文泉驿微米黑" w:hAnsi="文泉驿微米黑" w:cs="Arial Unicode MS"/>
          <w:color w:val="24292E"/>
          <w:sz w:val="24"/>
          <w:szCs w:val="24"/>
        </w:rPr>
        <w:t>流处理</w:t>
      </w:r>
      <w:proofErr w:type="gramEnd"/>
      <w:r w:rsidRPr="006C3298">
        <w:rPr>
          <w:rFonts w:ascii="文泉驿微米黑" w:eastAsia="文泉驿微米黑" w:hAnsi="文泉驿微米黑" w:cs="Arial Unicode MS"/>
          <w:color w:val="24292E"/>
          <w:sz w:val="24"/>
          <w:szCs w:val="24"/>
        </w:rPr>
        <w:t>场景时，TiDB 能保证源源不断流入系统的数据实时可查，同时可兼顾高并发数据服务与 BI 查询。</w:t>
      </w:r>
    </w:p>
    <w:p w14:paraId="64BF45B0" w14:textId="77777777" w:rsidR="007E0E62" w:rsidRPr="006C3298" w:rsidRDefault="00571458">
      <w:pPr>
        <w:numPr>
          <w:ilvl w:val="0"/>
          <w:numId w:val="17"/>
        </w:numPr>
        <w:shd w:val="clear" w:color="auto" w:fill="FFFFFF"/>
        <w:spacing w:after="480"/>
        <w:rPr>
          <w:rFonts w:ascii="文泉驿微米黑" w:eastAsia="文泉驿微米黑" w:hAnsi="文泉驿微米黑"/>
        </w:rPr>
      </w:pPr>
      <w:r w:rsidRPr="006C3298">
        <w:rPr>
          <w:rFonts w:ascii="文泉驿微米黑" w:eastAsia="文泉驿微米黑" w:hAnsi="文泉驿微米黑" w:cs="Arial Unicode MS"/>
          <w:color w:val="24292E"/>
          <w:sz w:val="24"/>
          <w:szCs w:val="24"/>
        </w:rPr>
        <w:t>数据中枢场景</w:t>
      </w:r>
      <w:r w:rsidRPr="006C3298">
        <w:rPr>
          <w:rFonts w:ascii="文泉驿微米黑" w:eastAsia="文泉驿微米黑" w:hAnsi="文泉驿微米黑" w:cs="Arial Unicode MS"/>
          <w:color w:val="24292E"/>
          <w:sz w:val="24"/>
          <w:szCs w:val="24"/>
        </w:rPr>
        <w:br/>
        <w:t>当将 TiDB 应用于数据中枢场景时，TiDB 作为数据中枢可以无缝连接数据业务层和数据仓库层，满足不同业务的需求。</w:t>
      </w:r>
    </w:p>
    <w:p w14:paraId="18E16CCC" w14:textId="77777777" w:rsidR="007E0E62" w:rsidRPr="006C3298" w:rsidRDefault="00571458">
      <w:pPr>
        <w:shd w:val="clear" w:color="auto" w:fill="FFFFFF"/>
        <w:spacing w:after="240"/>
        <w:rPr>
          <w:rFonts w:ascii="文泉驿微米黑" w:eastAsia="文泉驿微米黑" w:hAnsi="文泉驿微米黑" w:cs="Helvetica Neue"/>
          <w:color w:val="30323E"/>
          <w:sz w:val="24"/>
          <w:szCs w:val="24"/>
        </w:rPr>
      </w:pPr>
      <w:r w:rsidRPr="006C3298">
        <w:rPr>
          <w:rFonts w:ascii="文泉驿微米黑" w:eastAsia="文泉驿微米黑" w:hAnsi="文泉驿微米黑" w:cs="Arial Unicode MS"/>
          <w:color w:val="24292E"/>
          <w:sz w:val="24"/>
          <w:szCs w:val="24"/>
          <w:highlight w:val="white"/>
        </w:rPr>
        <w:t>下图为 TiDB HTAP 形态架构，其中包含 TiFlash 节点。</w:t>
      </w:r>
    </w:p>
    <w:p w14:paraId="1B178B41" w14:textId="77777777" w:rsidR="007E0E62" w:rsidRPr="006C3298" w:rsidRDefault="00571458">
      <w:pPr>
        <w:shd w:val="clear" w:color="auto" w:fill="FFFFFF"/>
        <w:spacing w:after="240"/>
        <w:rPr>
          <w:rFonts w:ascii="文泉驿微米黑" w:eastAsia="文泉驿微米黑" w:hAnsi="文泉驿微米黑" w:cs="Helvetica Neue"/>
          <w:color w:val="30323E"/>
          <w:sz w:val="24"/>
          <w:szCs w:val="24"/>
        </w:rPr>
      </w:pPr>
      <w:r w:rsidRPr="006C3298">
        <w:rPr>
          <w:rFonts w:ascii="文泉驿微米黑" w:eastAsia="文泉驿微米黑" w:hAnsi="文泉驿微米黑" w:cs="Helvetica Neue"/>
          <w:noProof/>
          <w:color w:val="30323E"/>
          <w:sz w:val="24"/>
          <w:szCs w:val="24"/>
        </w:rPr>
        <w:drawing>
          <wp:inline distT="114300" distB="114300" distL="114300" distR="114300" wp14:anchorId="5900BBA0" wp14:editId="0C2ADCAB">
            <wp:extent cx="5731200" cy="2768600"/>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5731200" cy="2768600"/>
                    </a:xfrm>
                    <a:prstGeom prst="rect">
                      <a:avLst/>
                    </a:prstGeom>
                    <a:ln/>
                  </pic:spPr>
                </pic:pic>
              </a:graphicData>
            </a:graphic>
          </wp:inline>
        </w:drawing>
      </w:r>
    </w:p>
    <w:p w14:paraId="7145F87A" w14:textId="77777777" w:rsidR="007E0E62" w:rsidRPr="006C3298" w:rsidRDefault="00571458">
      <w:pPr>
        <w:pStyle w:val="1"/>
        <w:spacing w:before="360" w:after="120"/>
        <w:rPr>
          <w:rFonts w:ascii="文泉驿微米黑" w:eastAsia="文泉驿微米黑" w:hAnsi="文泉驿微米黑"/>
        </w:rPr>
      </w:pPr>
      <w:bookmarkStart w:id="8" w:name="_Toc98332895"/>
      <w:r w:rsidRPr="006C3298">
        <w:rPr>
          <w:rFonts w:ascii="文泉驿微米黑" w:eastAsia="文泉驿微米黑" w:hAnsi="文泉驿微米黑" w:cs="Arial Unicode MS"/>
          <w:b/>
        </w:rPr>
        <w:lastRenderedPageBreak/>
        <w:t>TiDB 生态工具</w:t>
      </w:r>
      <w:bookmarkEnd w:id="8"/>
      <w:r w:rsidRPr="006C3298">
        <w:rPr>
          <w:rFonts w:ascii="文泉驿微米黑" w:eastAsia="文泉驿微米黑" w:hAnsi="文泉驿微米黑" w:cs="Arial Unicode MS"/>
          <w:b/>
        </w:rPr>
        <w:t xml:space="preserve"> </w:t>
      </w:r>
    </w:p>
    <w:p w14:paraId="245A658B" w14:textId="77777777" w:rsidR="007E0E62" w:rsidRPr="006C3298" w:rsidRDefault="00571458">
      <w:pPr>
        <w:pStyle w:val="2"/>
        <w:spacing w:after="80"/>
        <w:rPr>
          <w:rFonts w:ascii="文泉驿微米黑" w:eastAsia="文泉驿微米黑" w:hAnsi="文泉驿微米黑"/>
        </w:rPr>
      </w:pPr>
      <w:bookmarkStart w:id="9" w:name="_Toc98332896"/>
      <w:r w:rsidRPr="006C3298">
        <w:rPr>
          <w:rFonts w:ascii="文泉驿微米黑" w:eastAsia="文泉驿微米黑" w:hAnsi="文泉驿微米黑" w:cs="Arial Unicode MS"/>
        </w:rPr>
        <w:t>数据迁移</w:t>
      </w:r>
      <w:bookmarkEnd w:id="9"/>
    </w:p>
    <w:p w14:paraId="3AF65DD6" w14:textId="77777777" w:rsidR="007E0E62" w:rsidRPr="006C3298" w:rsidRDefault="00571458">
      <w:pPr>
        <w:pStyle w:val="3"/>
        <w:spacing w:before="280"/>
        <w:rPr>
          <w:rFonts w:ascii="文泉驿微米黑" w:eastAsia="文泉驿微米黑" w:hAnsi="文泉驿微米黑"/>
        </w:rPr>
      </w:pPr>
      <w:bookmarkStart w:id="10" w:name="_Toc98332897"/>
      <w:r w:rsidRPr="006C3298">
        <w:rPr>
          <w:rFonts w:ascii="文泉驿微米黑" w:eastAsia="文泉驿微米黑" w:hAnsi="文泉驿微米黑" w:cs="Arial Unicode MS"/>
        </w:rPr>
        <w:t>数据迁入 - TiDB Data Migration</w:t>
      </w:r>
      <w:bookmarkEnd w:id="10"/>
      <w:r w:rsidRPr="006C3298">
        <w:rPr>
          <w:rFonts w:ascii="文泉驿微米黑" w:eastAsia="文泉驿微米黑" w:hAnsi="文泉驿微米黑" w:cs="Arial Unicode MS"/>
        </w:rPr>
        <w:t xml:space="preserve"> </w:t>
      </w:r>
    </w:p>
    <w:p w14:paraId="187ABA81"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Data Migration (DM) 是一体化的数据迁移任务管理平台，支持从与 MySQL 协议兼容的数据库（MySQL、MariaDB、Aurora MySQL）到 TiDB 的数据迁移。使用 DM 工具有利于简化错误处理流程，降低运维成本，主要优势如下：</w:t>
      </w:r>
    </w:p>
    <w:p w14:paraId="37519F96" w14:textId="77777777" w:rsidR="007E0E62" w:rsidRPr="006C3298" w:rsidRDefault="00571458">
      <w:pPr>
        <w:numPr>
          <w:ilvl w:val="0"/>
          <w:numId w:val="1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数据迁移任务的高可用</w:t>
      </w:r>
    </w:p>
    <w:p w14:paraId="51640439" w14:textId="77777777" w:rsidR="007E0E62" w:rsidRPr="006C3298" w:rsidRDefault="00571458">
      <w:pPr>
        <w:numPr>
          <w:ilvl w:val="0"/>
          <w:numId w:val="1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先进的分库分表合并技术</w:t>
      </w:r>
    </w:p>
    <w:p w14:paraId="0502EA88" w14:textId="77777777" w:rsidR="007E0E62" w:rsidRPr="006C3298" w:rsidRDefault="00571458">
      <w:pPr>
        <w:numPr>
          <w:ilvl w:val="1"/>
          <w:numId w:val="1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分表表数据同步合并</w:t>
      </w:r>
    </w:p>
    <w:p w14:paraId="5BEC257E" w14:textId="77777777" w:rsidR="007E0E62" w:rsidRPr="006C3298" w:rsidRDefault="00571458">
      <w:pPr>
        <w:numPr>
          <w:ilvl w:val="1"/>
          <w:numId w:val="1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独有的分库分表 DDL 合并技术</w:t>
      </w:r>
    </w:p>
    <w:p w14:paraId="0D67348F" w14:textId="77777777" w:rsidR="007E0E62" w:rsidRPr="006C3298" w:rsidRDefault="00571458">
      <w:pPr>
        <w:numPr>
          <w:ilvl w:val="0"/>
          <w:numId w:val="11"/>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易用的错误处理机制</w:t>
      </w:r>
    </w:p>
    <w:p w14:paraId="4B580700" w14:textId="77777777" w:rsidR="007E0E62" w:rsidRPr="006C3298" w:rsidRDefault="00571458">
      <w:pPr>
        <w:numPr>
          <w:ilvl w:val="0"/>
          <w:numId w:val="11"/>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支持各组件</w:t>
      </w:r>
      <w:proofErr w:type="gramStart"/>
      <w:r w:rsidRPr="006C3298">
        <w:rPr>
          <w:rFonts w:ascii="文泉驿微米黑" w:eastAsia="文泉驿微米黑" w:hAnsi="文泉驿微米黑" w:cs="Arial Unicode MS"/>
          <w:sz w:val="24"/>
          <w:szCs w:val="24"/>
        </w:rPr>
        <w:t>间数据</w:t>
      </w:r>
      <w:proofErr w:type="gramEnd"/>
      <w:r w:rsidRPr="006C3298">
        <w:rPr>
          <w:rFonts w:ascii="文泉驿微米黑" w:eastAsia="文泉驿微米黑" w:hAnsi="文泉驿微米黑" w:cs="Arial Unicode MS"/>
          <w:sz w:val="24"/>
          <w:szCs w:val="24"/>
        </w:rPr>
        <w:t>传输加密</w:t>
      </w:r>
    </w:p>
    <w:p w14:paraId="0B11558F" w14:textId="77777777" w:rsidR="007E0E62" w:rsidRPr="006C3298" w:rsidRDefault="007E0E62">
      <w:pPr>
        <w:rPr>
          <w:rFonts w:ascii="文泉驿微米黑" w:eastAsia="文泉驿微米黑" w:hAnsi="文泉驿微米黑" w:cs="Ubuntu"/>
        </w:rPr>
      </w:pPr>
    </w:p>
    <w:p w14:paraId="330BF829" w14:textId="77777777" w:rsidR="007E0E62" w:rsidRPr="006C3298" w:rsidRDefault="00571458">
      <w:pPr>
        <w:rPr>
          <w:rFonts w:ascii="文泉驿微米黑" w:eastAsia="文泉驿微米黑" w:hAnsi="文泉驿微米黑" w:cs="Ubuntu"/>
        </w:rPr>
      </w:pPr>
      <w:r w:rsidRPr="006C3298">
        <w:rPr>
          <w:rFonts w:ascii="文泉驿微米黑" w:eastAsia="文泉驿微米黑" w:hAnsi="文泉驿微米黑" w:cs="Ubuntu"/>
          <w:noProof/>
        </w:rPr>
        <w:drawing>
          <wp:inline distT="114300" distB="114300" distL="114300" distR="114300" wp14:anchorId="6360430B" wp14:editId="7EF8DC4D">
            <wp:extent cx="5731200" cy="3619500"/>
            <wp:effectExtent l="0" t="0" r="0" b="0"/>
            <wp:docPr id="19"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7"/>
                    <a:srcRect/>
                    <a:stretch>
                      <a:fillRect/>
                    </a:stretch>
                  </pic:blipFill>
                  <pic:spPr>
                    <a:xfrm>
                      <a:off x="0" y="0"/>
                      <a:ext cx="5731200" cy="3619500"/>
                    </a:xfrm>
                    <a:prstGeom prst="rect">
                      <a:avLst/>
                    </a:prstGeom>
                    <a:ln/>
                  </pic:spPr>
                </pic:pic>
              </a:graphicData>
            </a:graphic>
          </wp:inline>
        </w:drawing>
      </w:r>
    </w:p>
    <w:p w14:paraId="6D3C12FC" w14:textId="77777777" w:rsidR="007E0E62" w:rsidRPr="006C3298" w:rsidRDefault="00571458">
      <w:pPr>
        <w:jc w:val="center"/>
        <w:rPr>
          <w:rFonts w:ascii="文泉驿微米黑" w:eastAsia="文泉驿微米黑" w:hAnsi="文泉驿微米黑" w:cs="Ubuntu"/>
        </w:rPr>
      </w:pPr>
      <w:r w:rsidRPr="006C3298">
        <w:rPr>
          <w:rFonts w:ascii="文泉驿微米黑" w:eastAsia="文泉驿微米黑" w:hAnsi="文泉驿微米黑" w:cs="Arial Unicode MS"/>
        </w:rPr>
        <w:lastRenderedPageBreak/>
        <w:t>DM 架构图</w:t>
      </w:r>
    </w:p>
    <w:p w14:paraId="34B14270" w14:textId="77777777" w:rsidR="007E0E62" w:rsidRPr="006C3298" w:rsidRDefault="007E0E62">
      <w:pPr>
        <w:rPr>
          <w:rFonts w:ascii="文泉驿微米黑" w:eastAsia="文泉驿微米黑" w:hAnsi="文泉驿微米黑"/>
        </w:rPr>
      </w:pPr>
    </w:p>
    <w:p w14:paraId="0F4E83F4" w14:textId="77777777" w:rsidR="007E0E62" w:rsidRPr="006C3298" w:rsidRDefault="00571458">
      <w:pPr>
        <w:pStyle w:val="3"/>
        <w:spacing w:before="280"/>
        <w:rPr>
          <w:rFonts w:ascii="文泉驿微米黑" w:eastAsia="文泉驿微米黑" w:hAnsi="文泉驿微米黑"/>
        </w:rPr>
      </w:pPr>
      <w:bookmarkStart w:id="11" w:name="_Toc98332898"/>
      <w:r w:rsidRPr="006C3298">
        <w:rPr>
          <w:rFonts w:ascii="文泉驿微米黑" w:eastAsia="文泉驿微米黑" w:hAnsi="文泉驿微米黑" w:cs="Arial Unicode MS"/>
        </w:rPr>
        <w:t>增量数据迁出 - TiCDC</w:t>
      </w:r>
      <w:bookmarkEnd w:id="11"/>
    </w:p>
    <w:p w14:paraId="5228E322" w14:textId="77777777" w:rsidR="007E0E62" w:rsidRPr="006C3298" w:rsidRDefault="007E0E62">
      <w:pPr>
        <w:rPr>
          <w:rFonts w:ascii="文泉驿微米黑" w:eastAsia="文泉驿微米黑" w:hAnsi="文泉驿微米黑"/>
        </w:rPr>
      </w:pPr>
    </w:p>
    <w:p w14:paraId="059E71BC"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TiCDC (CDC，Change Data Capture) 是一款通过拉取 TiKV 变更日志实现的 TiDB 增量数据同步工具，提供多种数据协议 (TiCDC Open Protocol / Apache Avro / Canal)，支持其他系统订阅数据变更，并已获得 Confluent Standard 认证。</w:t>
      </w:r>
    </w:p>
    <w:p w14:paraId="2A7DFFBB" w14:textId="77777777" w:rsidR="007E0E62" w:rsidRPr="006C3298" w:rsidRDefault="007E0E62">
      <w:pPr>
        <w:spacing w:line="360" w:lineRule="auto"/>
        <w:rPr>
          <w:rFonts w:ascii="文泉驿微米黑" w:eastAsia="文泉驿微米黑" w:hAnsi="文泉驿微米黑" w:cs="Helvetica Neue"/>
          <w:sz w:val="24"/>
          <w:szCs w:val="24"/>
        </w:rPr>
      </w:pPr>
    </w:p>
    <w:p w14:paraId="3EC878E2"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TiCDC 运行时通过 PD 内部的 etcd 实现高可用。TiCDC 集群支持创建多个同步任务，向多个不同的下游进行数据同步。</w:t>
      </w:r>
    </w:p>
    <w:p w14:paraId="2BD248AD" w14:textId="77777777" w:rsidR="007E0E62" w:rsidRPr="006C3298" w:rsidRDefault="007E0E62">
      <w:pPr>
        <w:spacing w:line="360" w:lineRule="auto"/>
        <w:rPr>
          <w:rFonts w:ascii="文泉驿微米黑" w:eastAsia="文泉驿微米黑" w:hAnsi="文泉驿微米黑"/>
          <w:sz w:val="20"/>
          <w:szCs w:val="20"/>
        </w:rPr>
      </w:pPr>
    </w:p>
    <w:p w14:paraId="3D3ACEC5" w14:textId="77777777" w:rsidR="007E0E62" w:rsidRPr="006C3298" w:rsidRDefault="00571458">
      <w:pPr>
        <w:rPr>
          <w:rFonts w:ascii="文泉驿微米黑" w:eastAsia="文泉驿微米黑" w:hAnsi="文泉驿微米黑"/>
          <w:sz w:val="20"/>
          <w:szCs w:val="20"/>
        </w:rPr>
      </w:pPr>
      <w:r w:rsidRPr="006C3298">
        <w:rPr>
          <w:rFonts w:ascii="文泉驿微米黑" w:eastAsia="文泉驿微米黑" w:hAnsi="文泉驿微米黑"/>
          <w:noProof/>
        </w:rPr>
        <w:drawing>
          <wp:inline distT="114300" distB="114300" distL="114300" distR="114300" wp14:anchorId="2C2877FA" wp14:editId="278F6AFE">
            <wp:extent cx="5731200" cy="2476500"/>
            <wp:effectExtent l="0" t="0" r="0" b="0"/>
            <wp:docPr id="11"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8"/>
                    <a:srcRect/>
                    <a:stretch>
                      <a:fillRect/>
                    </a:stretch>
                  </pic:blipFill>
                  <pic:spPr>
                    <a:xfrm>
                      <a:off x="0" y="0"/>
                      <a:ext cx="5731200" cy="2476500"/>
                    </a:xfrm>
                    <a:prstGeom prst="rect">
                      <a:avLst/>
                    </a:prstGeom>
                    <a:ln/>
                  </pic:spPr>
                </pic:pic>
              </a:graphicData>
            </a:graphic>
          </wp:inline>
        </w:drawing>
      </w:r>
    </w:p>
    <w:p w14:paraId="141B1EB5" w14:textId="77777777" w:rsidR="007E0E62" w:rsidRPr="006C3298" w:rsidRDefault="00571458">
      <w:pPr>
        <w:spacing w:line="360" w:lineRule="auto"/>
        <w:jc w:val="center"/>
        <w:rPr>
          <w:rFonts w:ascii="文泉驿微米黑" w:eastAsia="文泉驿微米黑" w:hAnsi="文泉驿微米黑"/>
          <w:sz w:val="20"/>
          <w:szCs w:val="20"/>
        </w:rPr>
      </w:pPr>
      <w:r w:rsidRPr="006C3298">
        <w:rPr>
          <w:rFonts w:ascii="文泉驿微米黑" w:eastAsia="文泉驿微米黑" w:hAnsi="文泉驿微米黑" w:cs="Arial Unicode MS"/>
          <w:sz w:val="20"/>
          <w:szCs w:val="20"/>
        </w:rPr>
        <w:t>TiCDC 系统架构图</w:t>
      </w:r>
    </w:p>
    <w:p w14:paraId="6F75AFA3" w14:textId="77777777" w:rsidR="007E0E62" w:rsidRPr="006C3298" w:rsidRDefault="007E0E62">
      <w:pPr>
        <w:rPr>
          <w:rFonts w:ascii="文泉驿微米黑" w:eastAsia="文泉驿微米黑" w:hAnsi="文泉驿微米黑"/>
        </w:rPr>
      </w:pPr>
    </w:p>
    <w:p w14:paraId="10DFEEAA" w14:textId="77777777" w:rsidR="007E0E62" w:rsidRPr="006C3298" w:rsidRDefault="007E0E62">
      <w:pPr>
        <w:spacing w:line="360" w:lineRule="auto"/>
        <w:rPr>
          <w:rFonts w:ascii="文泉驿微米黑" w:eastAsia="文泉驿微米黑" w:hAnsi="文泉驿微米黑"/>
          <w:sz w:val="20"/>
          <w:szCs w:val="20"/>
          <w:shd w:val="clear" w:color="auto" w:fill="E6B8AF"/>
        </w:rPr>
      </w:pPr>
    </w:p>
    <w:p w14:paraId="79D39957"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通过 TiCDC 工具，用户可以非常方便及安全可靠地实现：</w:t>
      </w:r>
    </w:p>
    <w:p w14:paraId="45AE978A" w14:textId="77777777" w:rsidR="007E0E62" w:rsidRPr="006C3298" w:rsidRDefault="00571458">
      <w:pPr>
        <w:numPr>
          <w:ilvl w:val="0"/>
          <w:numId w:val="5"/>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分布式数据库的数据实时同步</w:t>
      </w:r>
    </w:p>
    <w:p w14:paraId="55F86991" w14:textId="77777777" w:rsidR="007E0E62" w:rsidRPr="006C3298" w:rsidRDefault="00571458">
      <w:pPr>
        <w:numPr>
          <w:ilvl w:val="0"/>
          <w:numId w:val="5"/>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匹配任何规模 TiDB 集群的水平扩展能力</w:t>
      </w:r>
    </w:p>
    <w:p w14:paraId="35F6B0C0" w14:textId="77777777" w:rsidR="007E0E62" w:rsidRPr="006C3298" w:rsidRDefault="00571458">
      <w:pPr>
        <w:numPr>
          <w:ilvl w:val="0"/>
          <w:numId w:val="5"/>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数据复制的高可用</w:t>
      </w:r>
    </w:p>
    <w:p w14:paraId="53E77DC1" w14:textId="77777777" w:rsidR="007E0E62" w:rsidRPr="006C3298" w:rsidRDefault="00571458">
      <w:pPr>
        <w:numPr>
          <w:ilvl w:val="0"/>
          <w:numId w:val="5"/>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对接丰富的第三方生态（Canal / Kafka Connect）</w:t>
      </w:r>
    </w:p>
    <w:p w14:paraId="72D0444E" w14:textId="77777777" w:rsidR="007E0E62" w:rsidRPr="006C3298" w:rsidRDefault="00571458">
      <w:pPr>
        <w:pStyle w:val="3"/>
        <w:spacing w:before="280"/>
        <w:rPr>
          <w:rFonts w:ascii="文泉驿微米黑" w:eastAsia="文泉驿微米黑" w:hAnsi="文泉驿微米黑"/>
        </w:rPr>
      </w:pPr>
      <w:bookmarkStart w:id="12" w:name="_Toc98332899"/>
      <w:r w:rsidRPr="006C3298">
        <w:rPr>
          <w:rFonts w:ascii="文泉驿微米黑" w:eastAsia="文泉驿微米黑" w:hAnsi="文泉驿微米黑" w:cs="Arial Unicode MS"/>
        </w:rPr>
        <w:lastRenderedPageBreak/>
        <w:t>数据导入 - TiDB Lightning</w:t>
      </w:r>
      <w:bookmarkEnd w:id="12"/>
    </w:p>
    <w:p w14:paraId="3AD95375" w14:textId="77777777" w:rsidR="007E0E62" w:rsidRPr="006C3298" w:rsidRDefault="00571458">
      <w:p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TiDB Lightning 是一个用于将全量数据高速导入到 TiDB 集群的工具，速度可达到 SQL 导入方式的至少 10 </w:t>
      </w:r>
      <w:proofErr w:type="gramStart"/>
      <w:r w:rsidRPr="006C3298">
        <w:rPr>
          <w:rFonts w:ascii="文泉驿微米黑" w:eastAsia="文泉驿微米黑" w:hAnsi="文泉驿微米黑" w:cs="Arial Unicode MS"/>
          <w:sz w:val="24"/>
          <w:szCs w:val="24"/>
        </w:rPr>
        <w:t>倍</w:t>
      </w:r>
      <w:proofErr w:type="gramEnd"/>
      <w:r w:rsidRPr="006C3298">
        <w:rPr>
          <w:rFonts w:ascii="文泉驿微米黑" w:eastAsia="文泉驿微米黑" w:hAnsi="文泉驿微米黑" w:cs="Arial Unicode MS"/>
          <w:sz w:val="24"/>
          <w:szCs w:val="24"/>
        </w:rPr>
        <w:t xml:space="preserve">。基于 TPCC 数据的导入测试显示，导入速度可达到每小时 400 ~ 500 GB ，适合上线前迁移现有的大型数据库到全新的 TiDB 集群。 </w:t>
      </w:r>
    </w:p>
    <w:p w14:paraId="3E63715E" w14:textId="77777777" w:rsidR="007E0E62" w:rsidRPr="006C3298" w:rsidRDefault="00571458">
      <w:pPr>
        <w:numPr>
          <w:ilvl w:val="0"/>
          <w:numId w:val="9"/>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支持导入 MySQL dump files / CSV / Aurora snapshot / Parquet 格式的数据</w:t>
      </w:r>
    </w:p>
    <w:p w14:paraId="0800F007" w14:textId="77777777" w:rsidR="007E0E62" w:rsidRPr="006C3298" w:rsidRDefault="00571458">
      <w:pPr>
        <w:numPr>
          <w:ilvl w:val="0"/>
          <w:numId w:val="9"/>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支持直接从本地存储及与 Amazon S3 协议兼容的存储导入数据</w:t>
      </w:r>
    </w:p>
    <w:p w14:paraId="2704FDF5" w14:textId="77777777" w:rsidR="007E0E62" w:rsidRPr="006C3298" w:rsidRDefault="00571458">
      <w:pPr>
        <w:pStyle w:val="3"/>
        <w:spacing w:before="280"/>
        <w:rPr>
          <w:rFonts w:ascii="文泉驿微米黑" w:eastAsia="文泉驿微米黑" w:hAnsi="文泉驿微米黑"/>
        </w:rPr>
      </w:pPr>
      <w:bookmarkStart w:id="13" w:name="_Toc98332900"/>
      <w:r w:rsidRPr="006C3298">
        <w:rPr>
          <w:rFonts w:ascii="文泉驿微米黑" w:eastAsia="文泉驿微米黑" w:hAnsi="文泉驿微米黑" w:cs="Arial Unicode MS"/>
        </w:rPr>
        <w:t>数据导出 - Dumpling</w:t>
      </w:r>
      <w:bookmarkEnd w:id="13"/>
    </w:p>
    <w:p w14:paraId="058F6970" w14:textId="77777777" w:rsidR="007E0E62" w:rsidRPr="006C3298" w:rsidRDefault="00571458">
      <w:p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Dumpling 是由 Go 语言编写的用于对数据库进行数据导出的工具，目前支持 MySQL 协议的数据库，并且针对 TiDB 的特性进行了优化，Dumpling 的主要特点包括：</w:t>
      </w:r>
    </w:p>
    <w:p w14:paraId="69CCA176" w14:textId="77777777" w:rsidR="007E0E62" w:rsidRPr="006C3298" w:rsidRDefault="00571458">
      <w:pPr>
        <w:numPr>
          <w:ilvl w:val="0"/>
          <w:numId w:val="13"/>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适配 Mydumper，轻松上手</w:t>
      </w:r>
    </w:p>
    <w:p w14:paraId="6A5B1969" w14:textId="77777777" w:rsidR="007E0E62" w:rsidRPr="006C3298" w:rsidRDefault="00571458">
      <w:pPr>
        <w:numPr>
          <w:ilvl w:val="0"/>
          <w:numId w:val="13"/>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支持自定义导出过滤条件</w:t>
      </w:r>
    </w:p>
    <w:p w14:paraId="43EAC06A" w14:textId="77777777" w:rsidR="007E0E62" w:rsidRPr="006C3298" w:rsidRDefault="00571458">
      <w:pPr>
        <w:numPr>
          <w:ilvl w:val="0"/>
          <w:numId w:val="13"/>
        </w:numPr>
        <w:rPr>
          <w:rFonts w:ascii="文泉驿微米黑" w:eastAsia="文泉驿微米黑" w:hAnsi="文泉驿微米黑" w:cs="Helvetica Neue"/>
          <w:color w:val="FF00FF"/>
          <w:sz w:val="24"/>
          <w:szCs w:val="24"/>
        </w:rPr>
      </w:pPr>
      <w:r w:rsidRPr="006C3298">
        <w:rPr>
          <w:rFonts w:ascii="文泉驿微米黑" w:eastAsia="文泉驿微米黑" w:hAnsi="文泉驿微米黑" w:cs="Arial Unicode MS"/>
          <w:color w:val="FF00FF"/>
          <w:sz w:val="24"/>
          <w:szCs w:val="24"/>
        </w:rPr>
        <w:t>支持自动设置 TiDB GC 时间</w:t>
      </w:r>
    </w:p>
    <w:p w14:paraId="1FE4723C" w14:textId="77777777" w:rsidR="007E0E62" w:rsidRPr="006C3298" w:rsidRDefault="00571458">
      <w:pPr>
        <w:numPr>
          <w:ilvl w:val="0"/>
          <w:numId w:val="13"/>
        </w:numPr>
        <w:rPr>
          <w:rFonts w:ascii="文泉驿微米黑" w:eastAsia="文泉驿微米黑" w:hAnsi="文泉驿微米黑" w:cs="Helvetica Neue"/>
          <w:color w:val="FF00FF"/>
          <w:sz w:val="24"/>
          <w:szCs w:val="24"/>
        </w:rPr>
      </w:pPr>
      <w:r w:rsidRPr="006C3298">
        <w:rPr>
          <w:rFonts w:ascii="文泉驿微米黑" w:eastAsia="文泉驿微米黑" w:hAnsi="文泉驿微米黑" w:cs="Arial Unicode MS"/>
          <w:color w:val="FF00FF"/>
          <w:sz w:val="24"/>
          <w:szCs w:val="24"/>
        </w:rPr>
        <w:t>支持自动调节 TiDB 导出参数以防止 OOM</w:t>
      </w:r>
    </w:p>
    <w:p w14:paraId="19FF2577" w14:textId="77777777" w:rsidR="007E0E62" w:rsidRPr="006C3298" w:rsidRDefault="00571458">
      <w:pPr>
        <w:numPr>
          <w:ilvl w:val="0"/>
          <w:numId w:val="13"/>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多种导出格式，目前支持 SQL、CSV 格式的导出</w:t>
      </w:r>
    </w:p>
    <w:p w14:paraId="6C4D0C83" w14:textId="77777777" w:rsidR="007E0E62" w:rsidRPr="006C3298" w:rsidRDefault="007E0E62">
      <w:pPr>
        <w:rPr>
          <w:rFonts w:ascii="文泉驿微米黑" w:eastAsia="文泉驿微米黑" w:hAnsi="文泉驿微米黑" w:cs="Ubuntu"/>
        </w:rPr>
      </w:pPr>
    </w:p>
    <w:p w14:paraId="62E5E5F7" w14:textId="77777777" w:rsidR="007E0E62" w:rsidRPr="006C3298" w:rsidRDefault="00571458">
      <w:pPr>
        <w:pStyle w:val="2"/>
        <w:spacing w:after="80" w:line="276" w:lineRule="auto"/>
        <w:rPr>
          <w:rFonts w:ascii="文泉驿微米黑" w:eastAsia="文泉驿微米黑" w:hAnsi="文泉驿微米黑"/>
        </w:rPr>
      </w:pPr>
      <w:bookmarkStart w:id="14" w:name="_Toc98332901"/>
      <w:r w:rsidRPr="006C3298">
        <w:rPr>
          <w:rFonts w:ascii="文泉驿微米黑" w:eastAsia="文泉驿微米黑" w:hAnsi="文泉驿微米黑" w:cs="Arial Unicode MS"/>
        </w:rPr>
        <w:t>备份和恢复 - Backup &amp; Restore</w:t>
      </w:r>
      <w:bookmarkEnd w:id="14"/>
    </w:p>
    <w:p w14:paraId="28B40F9F" w14:textId="77777777" w:rsidR="007E0E62" w:rsidRPr="006C3298" w:rsidRDefault="00571458">
      <w:p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Backup &amp; Restore（简称 BR）是 TiDB 分布式备份恢复的命令行工具，用于对 TiDB 集群进行数据备份和恢复。功能和特点如下</w:t>
      </w:r>
    </w:p>
    <w:p w14:paraId="1EC806E7" w14:textId="77777777" w:rsidR="007E0E62" w:rsidRPr="006C3298" w:rsidRDefault="00571458">
      <w:pPr>
        <w:numPr>
          <w:ilvl w:val="0"/>
          <w:numId w:val="18"/>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性能可水平扩展：</w:t>
      </w:r>
    </w:p>
    <w:p w14:paraId="7ABD91F9" w14:textId="77777777" w:rsidR="007E0E62" w:rsidRPr="006C3298" w:rsidRDefault="00571458">
      <w:pPr>
        <w:numPr>
          <w:ilvl w:val="1"/>
          <w:numId w:val="18"/>
        </w:numPr>
        <w:spacing w:line="360" w:lineRule="auto"/>
        <w:jc w:val="both"/>
        <w:rPr>
          <w:rFonts w:ascii="文泉驿微米黑" w:eastAsia="文泉驿微米黑" w:hAnsi="文泉驿微米黑" w:cs="Ubuntu"/>
          <w:sz w:val="24"/>
          <w:szCs w:val="24"/>
        </w:rPr>
      </w:pPr>
      <w:r w:rsidRPr="006C3298">
        <w:rPr>
          <w:rFonts w:ascii="文泉驿微米黑" w:eastAsia="文泉驿微米黑" w:hAnsi="文泉驿微米黑" w:cs="Arial Unicode MS"/>
          <w:sz w:val="24"/>
          <w:szCs w:val="24"/>
        </w:rPr>
        <w:t>备份速度：~</w:t>
      </w:r>
      <w:r w:rsidRPr="006C3298">
        <w:rPr>
          <w:rFonts w:ascii="文泉驿微米黑" w:eastAsia="文泉驿微米黑" w:hAnsi="文泉驿微米黑" w:cs="Helvetica Neue"/>
          <w:color w:val="FF00FF"/>
          <w:sz w:val="24"/>
          <w:szCs w:val="24"/>
        </w:rPr>
        <w:t>150MB/s</w:t>
      </w:r>
      <w:r w:rsidRPr="006C3298">
        <w:rPr>
          <w:rFonts w:ascii="文泉驿微米黑" w:eastAsia="文泉驿微米黑" w:hAnsi="文泉驿微米黑" w:cs="Arial Unicode MS"/>
          <w:sz w:val="24"/>
          <w:szCs w:val="24"/>
        </w:rPr>
        <w:t xml:space="preserve"> * TiKV 节点数</w:t>
      </w:r>
      <w:r w:rsidRPr="006C3298">
        <w:rPr>
          <w:rFonts w:ascii="文泉驿微米黑" w:eastAsia="文泉驿微米黑" w:hAnsi="文泉驿微米黑" w:cs="Arial Unicode MS"/>
          <w:color w:val="3C4043"/>
          <w:sz w:val="24"/>
          <w:szCs w:val="24"/>
          <w:highlight w:val="white"/>
        </w:rPr>
        <w:t>（基于 Intel Xeon E5 + NVMe SSD + 3 副本</w:t>
      </w:r>
      <w:r w:rsidRPr="006C3298">
        <w:rPr>
          <w:rFonts w:ascii="文泉驿微米黑" w:eastAsia="文泉驿微米黑" w:hAnsi="文泉驿微米黑" w:cs="Arial Unicode MS"/>
          <w:sz w:val="24"/>
          <w:szCs w:val="24"/>
        </w:rPr>
        <w:t>）</w:t>
      </w:r>
    </w:p>
    <w:p w14:paraId="5595F74A" w14:textId="77777777" w:rsidR="007E0E62" w:rsidRPr="006C3298" w:rsidRDefault="00571458">
      <w:pPr>
        <w:numPr>
          <w:ilvl w:val="1"/>
          <w:numId w:val="18"/>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恢复速度：~</w:t>
      </w:r>
      <w:r w:rsidRPr="006C3298">
        <w:rPr>
          <w:rFonts w:ascii="文泉驿微米黑" w:eastAsia="文泉驿微米黑" w:hAnsi="文泉驿微米黑" w:cs="Helvetica Neue"/>
          <w:color w:val="FF00FF"/>
          <w:sz w:val="24"/>
          <w:szCs w:val="24"/>
        </w:rPr>
        <w:t xml:space="preserve">50MB/s </w:t>
      </w:r>
      <w:r w:rsidRPr="006C3298">
        <w:rPr>
          <w:rFonts w:ascii="文泉驿微米黑" w:eastAsia="文泉驿微米黑" w:hAnsi="文泉驿微米黑" w:cs="Arial Unicode MS"/>
          <w:sz w:val="24"/>
          <w:szCs w:val="24"/>
        </w:rPr>
        <w:t>* TiKV 节点数（配置同上）</w:t>
      </w:r>
    </w:p>
    <w:p w14:paraId="753CB935" w14:textId="77777777" w:rsidR="007E0E62" w:rsidRPr="006C3298" w:rsidRDefault="00571458">
      <w:pPr>
        <w:numPr>
          <w:ilvl w:val="0"/>
          <w:numId w:val="18"/>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支持增量备份</w:t>
      </w:r>
    </w:p>
    <w:p w14:paraId="359A129A" w14:textId="77777777" w:rsidR="007E0E62" w:rsidRPr="006C3298" w:rsidRDefault="00571458">
      <w:pPr>
        <w:numPr>
          <w:ilvl w:val="0"/>
          <w:numId w:val="18"/>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支持备份到 Amazon S3、Google Cloud Storage </w:t>
      </w:r>
      <w:r w:rsidRPr="006C3298">
        <w:rPr>
          <w:rFonts w:ascii="文泉驿微米黑" w:eastAsia="文泉驿微米黑" w:hAnsi="文泉驿微米黑" w:cs="Arial Unicode MS"/>
          <w:color w:val="FF00FF"/>
          <w:sz w:val="24"/>
          <w:szCs w:val="24"/>
        </w:rPr>
        <w:t>以及持久卷</w:t>
      </w:r>
    </w:p>
    <w:p w14:paraId="72C86A98" w14:textId="77777777" w:rsidR="007E0E62" w:rsidRPr="006C3298" w:rsidRDefault="00571458">
      <w:pPr>
        <w:rPr>
          <w:rFonts w:ascii="文泉驿微米黑" w:eastAsia="文泉驿微米黑" w:hAnsi="文泉驿微米黑" w:cs="Ubuntu"/>
        </w:rPr>
      </w:pPr>
      <w:r w:rsidRPr="006C3298">
        <w:rPr>
          <w:rFonts w:ascii="文泉驿微米黑" w:eastAsia="文泉驿微米黑" w:hAnsi="文泉驿微米黑" w:cs="Ubuntu"/>
          <w:noProof/>
        </w:rPr>
        <w:lastRenderedPageBreak/>
        <w:drawing>
          <wp:inline distT="114300" distB="114300" distL="114300" distR="114300" wp14:anchorId="44085C74" wp14:editId="0FCFA13D">
            <wp:extent cx="4996815" cy="3320143"/>
            <wp:effectExtent l="0" t="0" r="0" b="0"/>
            <wp:docPr id="1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9"/>
                    <a:srcRect/>
                    <a:stretch>
                      <a:fillRect/>
                    </a:stretch>
                  </pic:blipFill>
                  <pic:spPr>
                    <a:xfrm>
                      <a:off x="0" y="0"/>
                      <a:ext cx="4996815" cy="3320143"/>
                    </a:xfrm>
                    <a:prstGeom prst="rect">
                      <a:avLst/>
                    </a:prstGeom>
                    <a:ln/>
                  </pic:spPr>
                </pic:pic>
              </a:graphicData>
            </a:graphic>
          </wp:inline>
        </w:drawing>
      </w:r>
    </w:p>
    <w:p w14:paraId="0DAE4275" w14:textId="77777777" w:rsidR="007E0E62" w:rsidRPr="006C3298" w:rsidRDefault="00571458">
      <w:pPr>
        <w:spacing w:line="360" w:lineRule="auto"/>
        <w:jc w:val="center"/>
        <w:rPr>
          <w:rFonts w:ascii="文泉驿微米黑" w:eastAsia="文泉驿微米黑" w:hAnsi="文泉驿微米黑"/>
        </w:rPr>
      </w:pPr>
      <w:r w:rsidRPr="006C3298">
        <w:rPr>
          <w:rFonts w:ascii="文泉驿微米黑" w:eastAsia="文泉驿微米黑" w:hAnsi="文泉驿微米黑" w:cs="Arial Unicode MS"/>
          <w:sz w:val="20"/>
          <w:szCs w:val="20"/>
        </w:rPr>
        <w:t>Backup &amp; Restore 架构图</w:t>
      </w:r>
    </w:p>
    <w:p w14:paraId="71383215" w14:textId="77777777" w:rsidR="007E0E62" w:rsidRPr="006C3298" w:rsidRDefault="00571458">
      <w:pPr>
        <w:pStyle w:val="2"/>
        <w:spacing w:after="80"/>
        <w:rPr>
          <w:rFonts w:ascii="文泉驿微米黑" w:eastAsia="文泉驿微米黑" w:hAnsi="文泉驿微米黑"/>
        </w:rPr>
      </w:pPr>
      <w:bookmarkStart w:id="15" w:name="_Toc98332902"/>
      <w:r w:rsidRPr="006C3298">
        <w:rPr>
          <w:rFonts w:ascii="文泉驿微米黑" w:eastAsia="文泉驿微米黑" w:hAnsi="文泉驿微米黑" w:cs="Arial Unicode MS"/>
        </w:rPr>
        <w:t>安装部署</w:t>
      </w:r>
      <w:bookmarkEnd w:id="15"/>
    </w:p>
    <w:p w14:paraId="13E63695" w14:textId="77777777" w:rsidR="007E0E62" w:rsidRPr="006C3298" w:rsidRDefault="00571458">
      <w:pPr>
        <w:pStyle w:val="3"/>
        <w:spacing w:before="280"/>
        <w:rPr>
          <w:rFonts w:ascii="文泉驿微米黑" w:eastAsia="文泉驿微米黑" w:hAnsi="文泉驿微米黑"/>
        </w:rPr>
      </w:pPr>
      <w:bookmarkStart w:id="16" w:name="_Toc98332903"/>
      <w:r w:rsidRPr="006C3298">
        <w:rPr>
          <w:rFonts w:ascii="文泉驿微米黑" w:eastAsia="文泉驿微米黑" w:hAnsi="文泉驿微米黑"/>
        </w:rPr>
        <w:t>TiUP</w:t>
      </w:r>
      <w:bookmarkEnd w:id="16"/>
    </w:p>
    <w:p w14:paraId="01C8BBCA"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TiUP 是 TiDB 的组件管理平台，用于扩展 TiDB 生态边界，集成并管理 TiDB 生态的所有组件，方便用户进行多组件多版本管理，目前已经广泛用于客户生产环境。主要特点：</w:t>
      </w:r>
    </w:p>
    <w:p w14:paraId="0CD8D6B4"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通过 `tiup playground` 一键运行一个本地 TiDB 集群，可以让用户快速上手 TiDB 尝鲜，同时也为开发者提供了极大的便利运行测试集群。</w:t>
      </w:r>
    </w:p>
    <w:p w14:paraId="75B17235"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通过 `tiup cluster` 组件快速部署、升级、扩缩容、配置变更 On-Premises 部署的 TiDB 生产集群。</w:t>
      </w:r>
      <w:r w:rsidRPr="006C3298">
        <w:rPr>
          <w:rFonts w:ascii="文泉驿微米黑" w:eastAsia="文泉驿微米黑" w:hAnsi="文泉驿微米黑" w:cs="Arial Unicode MS"/>
          <w:color w:val="FF00FF"/>
          <w:sz w:val="24"/>
          <w:szCs w:val="24"/>
        </w:rPr>
        <w:t>TiDB v5.0 版本中，`tiup cluster` 组件的集群部署操作逻辑对用户更友好，升级集群操作更加稳定，升级时长更短，同时支持断点功能，并增强了集群运维功能。</w:t>
      </w:r>
    </w:p>
    <w:p w14:paraId="337762A4"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可以通过 `tiup dm` 组件快速部署、升级、扩缩容、配置变更 On-Premises 部署的 DM </w:t>
      </w:r>
      <w:r w:rsidRPr="006C3298">
        <w:rPr>
          <w:rFonts w:ascii="文泉驿微米黑" w:eastAsia="文泉驿微米黑" w:hAnsi="文泉驿微米黑" w:cs="Arial Unicode MS"/>
          <w:color w:val="FF00FF"/>
          <w:sz w:val="24"/>
          <w:szCs w:val="24"/>
        </w:rPr>
        <w:t>数据迁移集群</w:t>
      </w:r>
      <w:r w:rsidRPr="006C3298">
        <w:rPr>
          <w:rFonts w:ascii="文泉驿微米黑" w:eastAsia="文泉驿微米黑" w:hAnsi="文泉驿微米黑" w:cs="Arial Unicode MS"/>
          <w:sz w:val="24"/>
          <w:szCs w:val="24"/>
        </w:rPr>
        <w:t>。</w:t>
      </w:r>
    </w:p>
    <w:p w14:paraId="061000D4"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完备的离线镜像功能，为企业级客户的</w:t>
      </w:r>
      <w:r w:rsidRPr="006C3298">
        <w:rPr>
          <w:rFonts w:ascii="文泉驿微米黑" w:eastAsia="文泉驿微米黑" w:hAnsi="文泉驿微米黑" w:cs="Arial Unicode MS"/>
          <w:color w:val="FF00FF"/>
          <w:sz w:val="24"/>
          <w:szCs w:val="24"/>
        </w:rPr>
        <w:t>内</w:t>
      </w:r>
      <w:proofErr w:type="gramStart"/>
      <w:r w:rsidRPr="006C3298">
        <w:rPr>
          <w:rFonts w:ascii="文泉驿微米黑" w:eastAsia="文泉驿微米黑" w:hAnsi="文泉驿微米黑" w:cs="Arial Unicode MS"/>
          <w:color w:val="FF00FF"/>
          <w:sz w:val="24"/>
          <w:szCs w:val="24"/>
        </w:rPr>
        <w:t>网环境</w:t>
      </w:r>
      <w:proofErr w:type="gramEnd"/>
      <w:r w:rsidRPr="006C3298">
        <w:rPr>
          <w:rFonts w:ascii="文泉驿微米黑" w:eastAsia="文泉驿微米黑" w:hAnsi="文泉驿微米黑" w:cs="Arial Unicode MS"/>
          <w:sz w:val="24"/>
          <w:szCs w:val="24"/>
        </w:rPr>
        <w:t>提供一致的用户体验。</w:t>
      </w:r>
    </w:p>
    <w:p w14:paraId="2EFC70ED" w14:textId="77777777" w:rsidR="007E0E62" w:rsidRPr="006C3298" w:rsidRDefault="00571458">
      <w:pPr>
        <w:numPr>
          <w:ilvl w:val="0"/>
          <w:numId w:val="7"/>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lastRenderedPageBreak/>
        <w:t>支持 x86/arm 单架构部署、多架构异构部署。</w:t>
      </w:r>
    </w:p>
    <w:p w14:paraId="2584F882" w14:textId="77777777" w:rsidR="007E0E62" w:rsidRPr="006C3298" w:rsidRDefault="00571458">
      <w:pPr>
        <w:pStyle w:val="3"/>
        <w:spacing w:before="280"/>
        <w:rPr>
          <w:rFonts w:ascii="文泉驿微米黑" w:eastAsia="文泉驿微米黑" w:hAnsi="文泉驿微米黑"/>
        </w:rPr>
      </w:pPr>
      <w:bookmarkStart w:id="17" w:name="_Toc98332904"/>
      <w:r w:rsidRPr="006C3298">
        <w:rPr>
          <w:rFonts w:ascii="文泉驿微米黑" w:eastAsia="文泉驿微米黑" w:hAnsi="文泉驿微米黑"/>
        </w:rPr>
        <w:t>TiDB Operator</w:t>
      </w:r>
      <w:bookmarkEnd w:id="17"/>
    </w:p>
    <w:p w14:paraId="793E66D8" w14:textId="77777777" w:rsidR="007E0E62" w:rsidRPr="006C3298" w:rsidRDefault="00571458">
      <w:p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Operator 是 Kubernetes 上的 TiDB 集群自动运维系统，为云原生大趋势提供</w:t>
      </w:r>
      <w:r w:rsidRPr="006C3298">
        <w:rPr>
          <w:rFonts w:ascii="文泉驿微米黑" w:eastAsia="文泉驿微米黑" w:hAnsi="文泉驿微米黑" w:cs="Arial Unicode MS"/>
          <w:color w:val="FF00FF"/>
          <w:sz w:val="24"/>
          <w:szCs w:val="24"/>
        </w:rPr>
        <w:t>了</w:t>
      </w:r>
      <w:r w:rsidRPr="006C3298">
        <w:rPr>
          <w:rFonts w:ascii="文泉驿微米黑" w:eastAsia="文泉驿微米黑" w:hAnsi="文泉驿微米黑" w:cs="Arial Unicode MS"/>
          <w:sz w:val="24"/>
          <w:szCs w:val="24"/>
        </w:rPr>
        <w:t>标准的数据库上</w:t>
      </w:r>
      <w:proofErr w:type="gramStart"/>
      <w:r w:rsidRPr="006C3298">
        <w:rPr>
          <w:rFonts w:ascii="文泉驿微米黑" w:eastAsia="文泉驿微米黑" w:hAnsi="文泉驿微米黑" w:cs="Arial Unicode MS"/>
          <w:sz w:val="24"/>
          <w:szCs w:val="24"/>
        </w:rPr>
        <w:t>云解决</w:t>
      </w:r>
      <w:proofErr w:type="gramEnd"/>
      <w:r w:rsidRPr="006C3298">
        <w:rPr>
          <w:rFonts w:ascii="文泉驿微米黑" w:eastAsia="文泉驿微米黑" w:hAnsi="文泉驿微米黑" w:cs="Arial Unicode MS"/>
          <w:sz w:val="24"/>
          <w:szCs w:val="24"/>
        </w:rPr>
        <w:t>方案，主要特点：</w:t>
      </w:r>
    </w:p>
    <w:p w14:paraId="69FC6194" w14:textId="77777777" w:rsidR="007E0E62" w:rsidRPr="006C3298" w:rsidRDefault="00571458">
      <w:pPr>
        <w:numPr>
          <w:ilvl w:val="0"/>
          <w:numId w:val="3"/>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借助 TiDB Operator，TiDB 可以无缝运行在公有云（支持 AWS EKS、GCP GKE、Azure AKS、阿里云 ACK ）或私有部署的 Kubernetes 集群上。</w:t>
      </w:r>
    </w:p>
    <w:p w14:paraId="12386760" w14:textId="77777777" w:rsidR="007E0E62" w:rsidRPr="006C3298" w:rsidRDefault="00571458">
      <w:pPr>
        <w:numPr>
          <w:ilvl w:val="0"/>
          <w:numId w:val="3"/>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部署、升级、扩缩容、备份恢复、配置变更的 TiDB 全生命周期管理的</w:t>
      </w:r>
      <w:proofErr w:type="gramStart"/>
      <w:r w:rsidRPr="006C3298">
        <w:rPr>
          <w:rFonts w:ascii="文泉驿微米黑" w:eastAsia="文泉驿微米黑" w:hAnsi="文泉驿微米黑" w:cs="Arial Unicode MS"/>
          <w:sz w:val="24"/>
          <w:szCs w:val="24"/>
        </w:rPr>
        <w:t>全自动化运</w:t>
      </w:r>
      <w:proofErr w:type="gramEnd"/>
      <w:r w:rsidRPr="006C3298">
        <w:rPr>
          <w:rFonts w:ascii="文泉驿微米黑" w:eastAsia="文泉驿微米黑" w:hAnsi="文泉驿微米黑" w:cs="Arial Unicode MS"/>
          <w:sz w:val="24"/>
          <w:szCs w:val="24"/>
        </w:rPr>
        <w:t>维。</w:t>
      </w:r>
    </w:p>
    <w:p w14:paraId="18E283FA" w14:textId="77777777" w:rsidR="007E0E62" w:rsidRPr="006C3298" w:rsidRDefault="00571458">
      <w:pPr>
        <w:numPr>
          <w:ilvl w:val="0"/>
          <w:numId w:val="3"/>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弹性扩缩容，根据实际负载自动扩容、缩</w:t>
      </w:r>
      <w:proofErr w:type="gramStart"/>
      <w:r w:rsidRPr="006C3298">
        <w:rPr>
          <w:rFonts w:ascii="文泉驿微米黑" w:eastAsia="文泉驿微米黑" w:hAnsi="文泉驿微米黑" w:cs="Arial Unicode MS"/>
          <w:sz w:val="24"/>
          <w:szCs w:val="24"/>
        </w:rPr>
        <w:t>容计算</w:t>
      </w:r>
      <w:proofErr w:type="gramEnd"/>
      <w:r w:rsidRPr="006C3298">
        <w:rPr>
          <w:rFonts w:ascii="文泉驿微米黑" w:eastAsia="文泉驿微米黑" w:hAnsi="文泉驿微米黑" w:cs="Arial Unicode MS"/>
          <w:sz w:val="24"/>
          <w:szCs w:val="24"/>
        </w:rPr>
        <w:t>节点和存储节点。</w:t>
      </w:r>
    </w:p>
    <w:p w14:paraId="44EDC6D7" w14:textId="77777777" w:rsidR="007E0E62" w:rsidRPr="006C3298" w:rsidRDefault="007E0E62">
      <w:pPr>
        <w:rPr>
          <w:rFonts w:ascii="文泉驿微米黑" w:eastAsia="文泉驿微米黑" w:hAnsi="文泉驿微米黑" w:cs="Ubuntu"/>
        </w:rPr>
      </w:pPr>
    </w:p>
    <w:p w14:paraId="70F208B5" w14:textId="77777777" w:rsidR="007E0E62" w:rsidRPr="006C3298" w:rsidRDefault="00571458">
      <w:pPr>
        <w:rPr>
          <w:rFonts w:ascii="文泉驿微米黑" w:eastAsia="文泉驿微米黑" w:hAnsi="文泉驿微米黑" w:cs="Ubuntu"/>
        </w:rPr>
      </w:pPr>
      <w:r w:rsidRPr="006C3298">
        <w:rPr>
          <w:rFonts w:ascii="文泉驿微米黑" w:eastAsia="文泉驿微米黑" w:hAnsi="文泉驿微米黑" w:cs="Ubuntu"/>
          <w:noProof/>
        </w:rPr>
        <w:drawing>
          <wp:inline distT="114300" distB="114300" distL="114300" distR="114300" wp14:anchorId="2B69657F" wp14:editId="056785CB">
            <wp:extent cx="5731200" cy="3136900"/>
            <wp:effectExtent l="0" t="0" r="0" b="0"/>
            <wp:docPr id="1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0"/>
                    <a:srcRect/>
                    <a:stretch>
                      <a:fillRect/>
                    </a:stretch>
                  </pic:blipFill>
                  <pic:spPr>
                    <a:xfrm>
                      <a:off x="0" y="0"/>
                      <a:ext cx="5731200" cy="3136900"/>
                    </a:xfrm>
                    <a:prstGeom prst="rect">
                      <a:avLst/>
                    </a:prstGeom>
                    <a:ln/>
                  </pic:spPr>
                </pic:pic>
              </a:graphicData>
            </a:graphic>
          </wp:inline>
        </w:drawing>
      </w:r>
    </w:p>
    <w:p w14:paraId="10450975" w14:textId="77777777" w:rsidR="007E0E62" w:rsidRPr="006C3298" w:rsidRDefault="00571458">
      <w:pPr>
        <w:spacing w:line="360" w:lineRule="auto"/>
        <w:jc w:val="center"/>
        <w:rPr>
          <w:rFonts w:ascii="文泉驿微米黑" w:eastAsia="文泉驿微米黑" w:hAnsi="文泉驿微米黑"/>
        </w:rPr>
      </w:pPr>
      <w:r w:rsidRPr="006C3298">
        <w:rPr>
          <w:rFonts w:ascii="文泉驿微米黑" w:eastAsia="文泉驿微米黑" w:hAnsi="文泉驿微米黑" w:cs="Arial Unicode MS"/>
          <w:sz w:val="20"/>
          <w:szCs w:val="20"/>
        </w:rPr>
        <w:t>TiDB Operator 架构图</w:t>
      </w:r>
    </w:p>
    <w:p w14:paraId="4388912A" w14:textId="77777777" w:rsidR="007E0E62" w:rsidRPr="006C3298" w:rsidRDefault="007E0E62">
      <w:pPr>
        <w:pStyle w:val="2"/>
        <w:spacing w:after="80" w:line="276" w:lineRule="auto"/>
        <w:rPr>
          <w:rFonts w:ascii="文泉驿微米黑" w:eastAsia="文泉驿微米黑" w:hAnsi="文泉驿微米黑"/>
        </w:rPr>
      </w:pPr>
      <w:bookmarkStart w:id="18" w:name="_gx9h3q3jkmkk" w:colFirst="0" w:colLast="0"/>
      <w:bookmarkEnd w:id="18"/>
    </w:p>
    <w:p w14:paraId="6935D2EB" w14:textId="77777777" w:rsidR="007E0E62" w:rsidRPr="006C3298" w:rsidRDefault="00571458">
      <w:pPr>
        <w:pStyle w:val="2"/>
        <w:rPr>
          <w:rFonts w:ascii="文泉驿微米黑" w:eastAsia="文泉驿微米黑" w:hAnsi="文泉驿微米黑"/>
        </w:rPr>
      </w:pPr>
      <w:bookmarkStart w:id="19" w:name="_Toc98332905"/>
      <w:r w:rsidRPr="006C3298">
        <w:rPr>
          <w:rFonts w:ascii="文泉驿微米黑" w:eastAsia="文泉驿微米黑" w:hAnsi="文泉驿微米黑" w:cs="Arial Unicode MS"/>
        </w:rPr>
        <w:t>运维和可视化管理 - TiDB Dashboard</w:t>
      </w:r>
      <w:bookmarkEnd w:id="19"/>
    </w:p>
    <w:p w14:paraId="50E97955" w14:textId="77777777" w:rsidR="007E0E62" w:rsidRPr="006C3298" w:rsidRDefault="00571458">
      <w:p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Dashboard 是</w:t>
      </w:r>
      <w:r w:rsidRPr="006C3298">
        <w:rPr>
          <w:rFonts w:ascii="文泉驿微米黑" w:eastAsia="文泉驿微米黑" w:hAnsi="文泉驿微米黑" w:cs="Arial Unicode MS"/>
          <w:color w:val="FF00FF"/>
          <w:sz w:val="24"/>
          <w:szCs w:val="24"/>
        </w:rPr>
        <w:t>从 TiDB v4.0 版本起</w:t>
      </w:r>
      <w:r w:rsidRPr="006C3298">
        <w:rPr>
          <w:rFonts w:ascii="文泉驿微米黑" w:eastAsia="文泉驿微米黑" w:hAnsi="文泉驿微米黑" w:cs="Arial Unicode MS"/>
          <w:sz w:val="24"/>
          <w:szCs w:val="24"/>
        </w:rPr>
        <w:t>内置的图形化界面，可以在线监控、诊断和管理 TiDB 集群。</w:t>
      </w:r>
    </w:p>
    <w:p w14:paraId="27E0844D" w14:textId="77777777" w:rsidR="007E0E62" w:rsidRPr="006C3298" w:rsidRDefault="00571458">
      <w:pPr>
        <w:numPr>
          <w:ilvl w:val="0"/>
          <w:numId w:val="2"/>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lastRenderedPageBreak/>
        <w:t>TiDB 原生集成无需独立部署、可详细分析各类 SQL 语句的性能指标和执行情况、</w:t>
      </w:r>
      <w:r w:rsidRPr="006C3298">
        <w:rPr>
          <w:rFonts w:ascii="文泉驿微米黑" w:eastAsia="文泉驿微米黑" w:hAnsi="文泉驿微米黑" w:cs="Arial Unicode MS"/>
          <w:color w:val="FF00FF"/>
          <w:sz w:val="24"/>
          <w:szCs w:val="24"/>
        </w:rPr>
        <w:t>并提供</w:t>
      </w:r>
      <w:r w:rsidRPr="006C3298">
        <w:rPr>
          <w:rFonts w:ascii="文泉驿微米黑" w:eastAsia="文泉驿微米黑" w:hAnsi="文泉驿微米黑" w:cs="Arial Unicode MS"/>
          <w:sz w:val="24"/>
          <w:szCs w:val="24"/>
        </w:rPr>
        <w:t>独特的热点可视化诊断工具 KeyViz。</w:t>
      </w:r>
    </w:p>
    <w:p w14:paraId="6B405051" w14:textId="77777777" w:rsidR="007E0E62" w:rsidRPr="006C3298" w:rsidRDefault="00571458">
      <w:pPr>
        <w:numPr>
          <w:ilvl w:val="0"/>
          <w:numId w:val="2"/>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与 Navicat 商业工具类似，支持图形化查看和管理数据库用户、创建或删除数据库和数据表、编辑数据表的列、索引和分区结构信息、查询表中数据、添加或删除数据行、在线导入导出等。</w:t>
      </w:r>
    </w:p>
    <w:p w14:paraId="1D56252B" w14:textId="77777777" w:rsidR="007E0E62" w:rsidRPr="006C3298" w:rsidRDefault="00571458">
      <w:pPr>
        <w:numPr>
          <w:ilvl w:val="0"/>
          <w:numId w:val="2"/>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支持全流程追踪 SQL 执行技术，用于性能和问题诊断。</w:t>
      </w:r>
    </w:p>
    <w:p w14:paraId="0CDCB246" w14:textId="77777777" w:rsidR="007E0E62" w:rsidRPr="006C3298" w:rsidRDefault="00571458">
      <w:pPr>
        <w:numPr>
          <w:ilvl w:val="0"/>
          <w:numId w:val="2"/>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支持更细粒度的 TiDB 集群状态可视化展示。</w:t>
      </w:r>
    </w:p>
    <w:p w14:paraId="09AFDE22" w14:textId="77777777" w:rsidR="007E0E62" w:rsidRPr="006C3298" w:rsidRDefault="007E0E62">
      <w:pPr>
        <w:rPr>
          <w:rFonts w:ascii="文泉驿微米黑" w:eastAsia="文泉驿微米黑" w:hAnsi="文泉驿微米黑" w:cs="Helvetica Neue"/>
        </w:rPr>
        <w:sectPr w:rsidR="007E0E62" w:rsidRPr="006C3298">
          <w:pgSz w:w="11909" w:h="16834"/>
          <w:pgMar w:top="1440" w:right="1440" w:bottom="1440" w:left="1440" w:header="720" w:footer="720" w:gutter="0"/>
          <w:cols w:space="720"/>
        </w:sectPr>
      </w:pPr>
    </w:p>
    <w:p w14:paraId="3AE96265" w14:textId="77777777" w:rsidR="007E0E62" w:rsidRPr="006C3298" w:rsidRDefault="00571458">
      <w:pPr>
        <w:pStyle w:val="1"/>
        <w:widowControl w:val="0"/>
        <w:spacing w:before="60" w:after="480" w:line="240" w:lineRule="auto"/>
        <w:rPr>
          <w:rFonts w:ascii="文泉驿微米黑" w:eastAsia="文泉驿微米黑" w:hAnsi="文泉驿微米黑"/>
          <w:b/>
        </w:rPr>
      </w:pPr>
      <w:bookmarkStart w:id="20" w:name="_Toc98332906"/>
      <w:r w:rsidRPr="006C3298">
        <w:rPr>
          <w:rFonts w:ascii="文泉驿微米黑" w:eastAsia="文泉驿微米黑" w:hAnsi="文泉驿微米黑" w:cs="Arial Unicode MS"/>
          <w:b/>
        </w:rPr>
        <w:lastRenderedPageBreak/>
        <w:t>企业级高级功能</w:t>
      </w:r>
      <w:bookmarkEnd w:id="20"/>
    </w:p>
    <w:p w14:paraId="26707E55" w14:textId="77777777" w:rsidR="007E0E62" w:rsidRPr="006C3298" w:rsidRDefault="00571458">
      <w:pPr>
        <w:widowControl w:val="0"/>
        <w:spacing w:line="360" w:lineRule="auto"/>
        <w:jc w:val="both"/>
        <w:rPr>
          <w:rFonts w:ascii="文泉驿微米黑" w:eastAsia="文泉驿微米黑" w:hAnsi="文泉驿微米黑" w:cs="Helvetica Neue"/>
          <w:color w:val="121212"/>
          <w:sz w:val="24"/>
          <w:szCs w:val="24"/>
          <w:highlight w:val="white"/>
        </w:rPr>
      </w:pPr>
      <w:r w:rsidRPr="006C3298">
        <w:rPr>
          <w:rFonts w:ascii="文泉驿微米黑" w:eastAsia="文泉驿微米黑" w:hAnsi="文泉驿微米黑" w:cs="Arial Unicode MS"/>
          <w:color w:val="121212"/>
          <w:sz w:val="24"/>
          <w:szCs w:val="24"/>
          <w:highlight w:val="white"/>
        </w:rPr>
        <w:t>高可用特性是企业级系统关键特性之一，是确保企业的业务连续性的关键。</w:t>
      </w:r>
    </w:p>
    <w:p w14:paraId="44AB3ADA" w14:textId="77777777" w:rsidR="007E0E62" w:rsidRPr="006C3298" w:rsidRDefault="007E0E62">
      <w:pPr>
        <w:widowControl w:val="0"/>
        <w:spacing w:line="360" w:lineRule="auto"/>
        <w:jc w:val="both"/>
        <w:rPr>
          <w:rFonts w:ascii="文泉驿微米黑" w:eastAsia="文泉驿微米黑" w:hAnsi="文泉驿微米黑" w:cs="Helvetica Neue"/>
          <w:color w:val="121212"/>
          <w:sz w:val="24"/>
          <w:szCs w:val="24"/>
          <w:highlight w:val="white"/>
        </w:rPr>
      </w:pPr>
    </w:p>
    <w:p w14:paraId="77FD8AF8"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color w:val="121212"/>
          <w:sz w:val="24"/>
          <w:szCs w:val="24"/>
          <w:highlight w:val="white"/>
        </w:rPr>
        <w:t>TiDB 是一款分布式数据库，分布式系统在设计时出于对成本的</w:t>
      </w:r>
      <w:proofErr w:type="gramStart"/>
      <w:r w:rsidRPr="006C3298">
        <w:rPr>
          <w:rFonts w:ascii="文泉驿微米黑" w:eastAsia="文泉驿微米黑" w:hAnsi="文泉驿微米黑" w:cs="Arial Unicode MS"/>
          <w:color w:val="121212"/>
          <w:sz w:val="24"/>
          <w:szCs w:val="24"/>
          <w:highlight w:val="white"/>
        </w:rPr>
        <w:t>考量</w:t>
      </w:r>
      <w:proofErr w:type="gramEnd"/>
      <w:r w:rsidRPr="006C3298">
        <w:rPr>
          <w:rFonts w:ascii="文泉驿微米黑" w:eastAsia="文泉驿微米黑" w:hAnsi="文泉驿微米黑" w:cs="Arial Unicode MS"/>
          <w:color w:val="121212"/>
          <w:sz w:val="24"/>
          <w:szCs w:val="24"/>
          <w:highlight w:val="white"/>
        </w:rPr>
        <w:t>，会将服务部署在比较</w:t>
      </w:r>
      <w:r w:rsidRPr="006C3298">
        <w:rPr>
          <w:rFonts w:ascii="文泉驿微米黑" w:eastAsia="文泉驿微米黑" w:hAnsi="文泉驿微米黑" w:cs="Arial Unicode MS"/>
          <w:sz w:val="24"/>
          <w:szCs w:val="24"/>
        </w:rPr>
        <w:t>廉价硬件上，其可靠性相对小型机、专有硬件有很大的不足，通过数据分片、副本等技术将超大数据集分散到众多的廉价机器上，而众多</w:t>
      </w:r>
      <w:proofErr w:type="gramStart"/>
      <w:r w:rsidRPr="006C3298">
        <w:rPr>
          <w:rFonts w:ascii="文泉驿微米黑" w:eastAsia="文泉驿微米黑" w:hAnsi="文泉驿微米黑" w:cs="Arial Unicode MS"/>
          <w:sz w:val="24"/>
          <w:szCs w:val="24"/>
        </w:rPr>
        <w:t>廉价会</w:t>
      </w:r>
      <w:proofErr w:type="gramEnd"/>
      <w:r w:rsidRPr="006C3298">
        <w:rPr>
          <w:rFonts w:ascii="文泉驿微米黑" w:eastAsia="文泉驿微米黑" w:hAnsi="文泉驿微米黑" w:cs="Arial Unicode MS"/>
          <w:sz w:val="24"/>
          <w:szCs w:val="24"/>
        </w:rPr>
        <w:t>部在不同的机架、机房、数据中心，如此众多的机器的操作系统、软件、存储介质、网络等都可能会出现</w:t>
      </w:r>
      <w:proofErr w:type="gramStart"/>
      <w:r w:rsidRPr="006C3298">
        <w:rPr>
          <w:rFonts w:ascii="文泉驿微米黑" w:eastAsia="文泉驿微米黑" w:hAnsi="文泉驿微米黑" w:cs="Arial Unicode MS"/>
          <w:sz w:val="24"/>
          <w:szCs w:val="24"/>
        </w:rPr>
        <w:t>不</w:t>
      </w:r>
      <w:proofErr w:type="gramEnd"/>
      <w:r w:rsidRPr="006C3298">
        <w:rPr>
          <w:rFonts w:ascii="文泉驿微米黑" w:eastAsia="文泉驿微米黑" w:hAnsi="文泉驿微米黑" w:cs="Arial Unicode MS"/>
          <w:sz w:val="24"/>
          <w:szCs w:val="24"/>
        </w:rPr>
        <w:t>可用的状态。</w:t>
      </w:r>
    </w:p>
    <w:p w14:paraId="54C93AC3"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46E02F9E"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在设计之初就考虑到此类的问题，主要采用存储计算分离的分布式架构、确保不会因任意硬件、软件、网络故障，导致系统的元数据、数据、计算服务、存储服务</w:t>
      </w:r>
      <w:proofErr w:type="gramStart"/>
      <w:r w:rsidRPr="006C3298">
        <w:rPr>
          <w:rFonts w:ascii="文泉驿微米黑" w:eastAsia="文泉驿微米黑" w:hAnsi="文泉驿微米黑" w:cs="Arial Unicode MS"/>
          <w:sz w:val="24"/>
          <w:szCs w:val="24"/>
        </w:rPr>
        <w:t>不</w:t>
      </w:r>
      <w:proofErr w:type="gramEnd"/>
      <w:r w:rsidRPr="006C3298">
        <w:rPr>
          <w:rFonts w:ascii="文泉驿微米黑" w:eastAsia="文泉驿微米黑" w:hAnsi="文泉驿微米黑" w:cs="Arial Unicode MS"/>
          <w:sz w:val="24"/>
          <w:szCs w:val="24"/>
        </w:rPr>
        <w:t>可用，其主要的技术包括：多副本、数据强一致、故障自动转移和恢复、备份与恢复、同城和异地容灾等。</w:t>
      </w:r>
    </w:p>
    <w:p w14:paraId="218FA601"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1EE03388" w14:textId="77777777" w:rsidR="007E0E62" w:rsidRPr="006C3298" w:rsidRDefault="00571458">
      <w:pPr>
        <w:pStyle w:val="2"/>
        <w:widowControl w:val="0"/>
        <w:jc w:val="both"/>
        <w:rPr>
          <w:rFonts w:ascii="文泉驿微米黑" w:eastAsia="文泉驿微米黑" w:hAnsi="文泉驿微米黑"/>
        </w:rPr>
      </w:pPr>
      <w:bookmarkStart w:id="21" w:name="_Toc98332907"/>
      <w:r w:rsidRPr="006C3298">
        <w:rPr>
          <w:rFonts w:ascii="文泉驿微米黑" w:eastAsia="文泉驿微米黑" w:hAnsi="文泉驿微米黑" w:cs="Arial Unicode MS"/>
        </w:rPr>
        <w:t>弹性扩缩容</w:t>
      </w:r>
      <w:bookmarkEnd w:id="21"/>
    </w:p>
    <w:p w14:paraId="1A25A09B" w14:textId="77777777" w:rsidR="007E0E62" w:rsidRPr="006C3298" w:rsidRDefault="007E0E62">
      <w:pPr>
        <w:rPr>
          <w:rFonts w:ascii="文泉驿微米黑" w:eastAsia="文泉驿微米黑" w:hAnsi="文泉驿微米黑"/>
        </w:rPr>
      </w:pPr>
    </w:p>
    <w:p w14:paraId="308F16A1" w14:textId="77777777" w:rsidR="007E0E62" w:rsidRPr="006C3298" w:rsidRDefault="00571458">
      <w:pPr>
        <w:rPr>
          <w:rFonts w:ascii="文泉驿微米黑" w:eastAsia="文泉驿微米黑" w:hAnsi="文泉驿微米黑"/>
        </w:rPr>
      </w:pPr>
      <w:r w:rsidRPr="006C3298">
        <w:rPr>
          <w:rFonts w:ascii="文泉驿微米黑" w:eastAsia="文泉驿微米黑" w:hAnsi="文泉驿微米黑" w:cs="Arial Unicode MS"/>
        </w:rPr>
        <w:t>TiDB 支持海量数据的高性能写入与实时分析：</w:t>
      </w:r>
    </w:p>
    <w:p w14:paraId="7C63DA6D" w14:textId="77777777" w:rsidR="007E0E62" w:rsidRPr="006C3298" w:rsidRDefault="00571458">
      <w:pPr>
        <w:numPr>
          <w:ilvl w:val="0"/>
          <w:numId w:val="6"/>
        </w:numPr>
        <w:spacing w:before="240"/>
        <w:rPr>
          <w:rFonts w:ascii="文泉驿微米黑" w:eastAsia="文泉驿微米黑" w:hAnsi="文泉驿微米黑"/>
        </w:rPr>
      </w:pPr>
      <w:r w:rsidRPr="006C3298">
        <w:rPr>
          <w:rFonts w:ascii="文泉驿微米黑" w:eastAsia="文泉驿微米黑" w:hAnsi="文泉驿微米黑" w:cs="Arial Unicode MS"/>
        </w:rPr>
        <w:t>TiDB 提供可扩展、无上限的实时写入和实时查询能力</w:t>
      </w:r>
    </w:p>
    <w:p w14:paraId="1DBF93CA" w14:textId="77777777" w:rsidR="007E0E62" w:rsidRPr="006C3298" w:rsidRDefault="00571458">
      <w:pPr>
        <w:numPr>
          <w:ilvl w:val="0"/>
          <w:numId w:val="6"/>
        </w:numPr>
        <w:spacing w:after="240"/>
        <w:rPr>
          <w:rFonts w:ascii="文泉驿微米黑" w:eastAsia="文泉驿微米黑" w:hAnsi="文泉驿微米黑"/>
        </w:rPr>
      </w:pPr>
      <w:r w:rsidRPr="006C3298">
        <w:rPr>
          <w:rFonts w:ascii="文泉驿微米黑" w:eastAsia="文泉驿微米黑" w:hAnsi="文泉驿微米黑" w:cs="Arial Unicode MS"/>
        </w:rPr>
        <w:t>TiDB 具备强大的分布式查询引擎，可用于各种实时分析场景</w:t>
      </w:r>
    </w:p>
    <w:p w14:paraId="59958087" w14:textId="77777777" w:rsidR="007E0E62" w:rsidRPr="006C3298" w:rsidRDefault="00571458" w:rsidP="007C4B70">
      <w:r w:rsidRPr="006C3298">
        <w:rPr>
          <w:noProof/>
        </w:rPr>
        <w:lastRenderedPageBreak/>
        <w:drawing>
          <wp:inline distT="114300" distB="114300" distL="114300" distR="114300" wp14:anchorId="6F846940" wp14:editId="45C6B868">
            <wp:extent cx="5731200" cy="3022600"/>
            <wp:effectExtent l="0" t="0" r="0" b="0"/>
            <wp:docPr id="12"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1"/>
                    <a:srcRect/>
                    <a:stretch>
                      <a:fillRect/>
                    </a:stretch>
                  </pic:blipFill>
                  <pic:spPr>
                    <a:xfrm>
                      <a:off x="0" y="0"/>
                      <a:ext cx="5731200" cy="3022600"/>
                    </a:xfrm>
                    <a:prstGeom prst="rect">
                      <a:avLst/>
                    </a:prstGeom>
                    <a:ln/>
                  </pic:spPr>
                </pic:pic>
              </a:graphicData>
            </a:graphic>
          </wp:inline>
        </w:drawing>
      </w:r>
    </w:p>
    <w:p w14:paraId="57709435" w14:textId="77777777" w:rsidR="007E0E62" w:rsidRPr="006C3298" w:rsidRDefault="00571458">
      <w:p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分布式架构提供整体的弹性扩缩容能力</w:t>
      </w:r>
    </w:p>
    <w:p w14:paraId="14F294F1" w14:textId="77777777" w:rsidR="007E0E62" w:rsidRPr="006C3298" w:rsidRDefault="00571458">
      <w:pPr>
        <w:numPr>
          <w:ilvl w:val="0"/>
          <w:numId w:val="12"/>
        </w:numPr>
        <w:spacing w:before="240"/>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TiDB 水平弹性扩展、分布式数据库强一致性等特性适合批量计算场景</w:t>
      </w:r>
    </w:p>
    <w:p w14:paraId="3948934E" w14:textId="77777777" w:rsidR="007E0E62" w:rsidRPr="006C3298" w:rsidRDefault="00571458">
      <w:pPr>
        <w:numPr>
          <w:ilvl w:val="0"/>
          <w:numId w:val="12"/>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解决传统数据库并发支持低、分析能力差、无法线性扩展等痛点</w:t>
      </w:r>
    </w:p>
    <w:p w14:paraId="3047E231" w14:textId="77777777" w:rsidR="007E0E62" w:rsidRPr="006C3298" w:rsidRDefault="00571458">
      <w:pPr>
        <w:numPr>
          <w:ilvl w:val="0"/>
          <w:numId w:val="12"/>
        </w:numPr>
        <w:spacing w:after="240"/>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结合应用系统的场景能力，打造整体分布式弹性扩缩容的业务架构</w:t>
      </w:r>
    </w:p>
    <w:p w14:paraId="50BD36E2" w14:textId="77777777" w:rsidR="007E0E62" w:rsidRPr="006C3298" w:rsidRDefault="00571458" w:rsidP="007C4B70">
      <w:bookmarkStart w:id="22" w:name="_2oothxnzs2ez" w:colFirst="0" w:colLast="0"/>
      <w:bookmarkEnd w:id="22"/>
      <w:r w:rsidRPr="006C3298">
        <w:rPr>
          <w:noProof/>
        </w:rPr>
        <w:drawing>
          <wp:inline distT="114300" distB="114300" distL="114300" distR="114300" wp14:anchorId="739D46DE" wp14:editId="73B4B1B9">
            <wp:extent cx="5731200" cy="3098800"/>
            <wp:effectExtent l="0" t="0" r="0" b="0"/>
            <wp:docPr id="17"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22"/>
                    <a:srcRect/>
                    <a:stretch>
                      <a:fillRect/>
                    </a:stretch>
                  </pic:blipFill>
                  <pic:spPr>
                    <a:xfrm>
                      <a:off x="0" y="0"/>
                      <a:ext cx="5731200" cy="3098800"/>
                    </a:xfrm>
                    <a:prstGeom prst="rect">
                      <a:avLst/>
                    </a:prstGeom>
                    <a:ln/>
                  </pic:spPr>
                </pic:pic>
              </a:graphicData>
            </a:graphic>
          </wp:inline>
        </w:drawing>
      </w:r>
    </w:p>
    <w:p w14:paraId="05EF6814" w14:textId="77777777" w:rsidR="007E0E62" w:rsidRPr="006C3298" w:rsidRDefault="00571458">
      <w:pPr>
        <w:spacing w:before="280"/>
        <w:rPr>
          <w:rFonts w:ascii="文泉驿微米黑" w:eastAsia="文泉驿微米黑" w:hAnsi="文泉驿微米黑"/>
        </w:rPr>
      </w:pPr>
      <w:r w:rsidRPr="006C3298">
        <w:rPr>
          <w:rFonts w:ascii="文泉驿微米黑" w:eastAsia="文泉驿微米黑" w:hAnsi="文泉驿微米黑" w:cs="Arial Unicode MS"/>
        </w:rPr>
        <w:t>具备以下优势：</w:t>
      </w:r>
    </w:p>
    <w:p w14:paraId="4C7870ED" w14:textId="77777777" w:rsidR="007E0E62" w:rsidRPr="006C3298" w:rsidRDefault="00571458">
      <w:pPr>
        <w:numPr>
          <w:ilvl w:val="0"/>
          <w:numId w:val="8"/>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高并发、可扩展、无上限的实时写入和查询能力；</w:t>
      </w:r>
    </w:p>
    <w:p w14:paraId="43910DA3" w14:textId="77777777" w:rsidR="007E0E62" w:rsidRPr="006C3298" w:rsidRDefault="00571458">
      <w:pPr>
        <w:numPr>
          <w:ilvl w:val="0"/>
          <w:numId w:val="8"/>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采用存储计算分离的架构设计，可按需对计算、存储分别进行在线扩容或者缩容，</w:t>
      </w:r>
      <w:proofErr w:type="gramStart"/>
      <w:r w:rsidRPr="006C3298">
        <w:rPr>
          <w:rFonts w:ascii="文泉驿微米黑" w:eastAsia="文泉驿微米黑" w:hAnsi="文泉驿微米黑" w:cs="Arial Unicode MS"/>
          <w:sz w:val="24"/>
          <w:szCs w:val="24"/>
        </w:rPr>
        <w:t>且过程</w:t>
      </w:r>
      <w:proofErr w:type="gramEnd"/>
      <w:r w:rsidRPr="006C3298">
        <w:rPr>
          <w:rFonts w:ascii="文泉驿微米黑" w:eastAsia="文泉驿微米黑" w:hAnsi="文泉驿微米黑" w:cs="Arial Unicode MS"/>
          <w:sz w:val="24"/>
          <w:szCs w:val="24"/>
        </w:rPr>
        <w:t>对应用运</w:t>
      </w:r>
      <w:proofErr w:type="gramStart"/>
      <w:r w:rsidRPr="006C3298">
        <w:rPr>
          <w:rFonts w:ascii="文泉驿微米黑" w:eastAsia="文泉驿微米黑" w:hAnsi="文泉驿微米黑" w:cs="Arial Unicode MS"/>
          <w:sz w:val="24"/>
          <w:szCs w:val="24"/>
        </w:rPr>
        <w:t>维人员</w:t>
      </w:r>
      <w:proofErr w:type="gramEnd"/>
      <w:r w:rsidRPr="006C3298">
        <w:rPr>
          <w:rFonts w:ascii="文泉驿微米黑" w:eastAsia="文泉驿微米黑" w:hAnsi="文泉驿微米黑" w:cs="Arial Unicode MS"/>
          <w:sz w:val="24"/>
          <w:szCs w:val="24"/>
        </w:rPr>
        <w:t>透明；</w:t>
      </w:r>
    </w:p>
    <w:p w14:paraId="2EC50261" w14:textId="77777777" w:rsidR="007E0E62" w:rsidRPr="006C3298" w:rsidRDefault="00571458">
      <w:pPr>
        <w:numPr>
          <w:ilvl w:val="0"/>
          <w:numId w:val="8"/>
        </w:numPr>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lastRenderedPageBreak/>
        <w:t>数据均匀分散到所有存储节点，对应用完全透明。</w:t>
      </w:r>
    </w:p>
    <w:p w14:paraId="56F906BF"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2A84C07A" w14:textId="77777777" w:rsidR="007E0E62" w:rsidRPr="006C3298" w:rsidRDefault="00571458">
      <w:pPr>
        <w:pStyle w:val="2"/>
        <w:rPr>
          <w:rFonts w:ascii="文泉驿微米黑" w:eastAsia="文泉驿微米黑" w:hAnsi="文泉驿微米黑"/>
        </w:rPr>
      </w:pPr>
      <w:bookmarkStart w:id="23" w:name="_Toc98332908"/>
      <w:r w:rsidRPr="006C3298">
        <w:rPr>
          <w:rFonts w:ascii="文泉驿微米黑" w:eastAsia="文泉驿微米黑" w:hAnsi="文泉驿微米黑" w:cs="Arial Unicode MS"/>
        </w:rPr>
        <w:t>多副本、数据强一致</w:t>
      </w:r>
      <w:bookmarkEnd w:id="23"/>
    </w:p>
    <w:p w14:paraId="41D8E229" w14:textId="77777777" w:rsidR="007E0E62" w:rsidRPr="006C3298" w:rsidRDefault="007E0E62">
      <w:pPr>
        <w:widowControl w:val="0"/>
        <w:spacing w:line="360" w:lineRule="auto"/>
        <w:jc w:val="both"/>
        <w:rPr>
          <w:rFonts w:ascii="文泉驿微米黑" w:eastAsia="文泉驿微米黑" w:hAnsi="文泉驿微米黑" w:cs="Helvetica Neue"/>
          <w:sz w:val="21"/>
          <w:szCs w:val="21"/>
        </w:rPr>
      </w:pPr>
    </w:p>
    <w:p w14:paraId="38691091" w14:textId="77777777" w:rsidR="007E0E62" w:rsidRPr="006C3298" w:rsidRDefault="00571458">
      <w:pPr>
        <w:widowControl w:val="0"/>
        <w:spacing w:line="36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Helvetica Neue"/>
          <w:noProof/>
          <w:sz w:val="21"/>
          <w:szCs w:val="21"/>
        </w:rPr>
        <w:drawing>
          <wp:inline distT="114300" distB="114300" distL="114300" distR="114300" wp14:anchorId="761308CE" wp14:editId="5345B7C1">
            <wp:extent cx="5274000" cy="25019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3"/>
                    <a:srcRect/>
                    <a:stretch>
                      <a:fillRect/>
                    </a:stretch>
                  </pic:blipFill>
                  <pic:spPr>
                    <a:xfrm>
                      <a:off x="0" y="0"/>
                      <a:ext cx="5274000" cy="2501900"/>
                    </a:xfrm>
                    <a:prstGeom prst="rect">
                      <a:avLst/>
                    </a:prstGeom>
                    <a:ln/>
                  </pic:spPr>
                </pic:pic>
              </a:graphicData>
            </a:graphic>
          </wp:inline>
        </w:drawing>
      </w:r>
    </w:p>
    <w:p w14:paraId="31AD6411" w14:textId="77777777" w:rsidR="007E0E62" w:rsidRPr="006C3298" w:rsidRDefault="007E0E62">
      <w:pPr>
        <w:widowControl w:val="0"/>
        <w:spacing w:line="360" w:lineRule="auto"/>
        <w:jc w:val="both"/>
        <w:rPr>
          <w:rFonts w:ascii="文泉驿微米黑" w:eastAsia="文泉驿微米黑" w:hAnsi="文泉驿微米黑" w:cs="Helvetica Neue"/>
          <w:color w:val="30323E"/>
          <w:sz w:val="24"/>
          <w:szCs w:val="24"/>
          <w:highlight w:val="white"/>
        </w:rPr>
      </w:pPr>
    </w:p>
    <w:p w14:paraId="63E4AE66"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highlight w:val="white"/>
        </w:rPr>
        <w:t xml:space="preserve">TiKV 参考 Spanner 设计了 multi-raft-group 的副本机制。将数据按照 key 的范围划分成大致相等的切片（下文统称为 Region），每一个切片会有多个副本（通常是 3 </w:t>
      </w:r>
      <w:proofErr w:type="gramStart"/>
      <w:r w:rsidRPr="006C3298">
        <w:rPr>
          <w:rFonts w:ascii="文泉驿微米黑" w:eastAsia="文泉驿微米黑" w:hAnsi="文泉驿微米黑" w:cs="Arial Unicode MS"/>
          <w:sz w:val="24"/>
          <w:szCs w:val="24"/>
          <w:highlight w:val="white"/>
        </w:rPr>
        <w:t>个</w:t>
      </w:r>
      <w:proofErr w:type="gramEnd"/>
      <w:r w:rsidRPr="006C3298">
        <w:rPr>
          <w:rFonts w:ascii="文泉驿微米黑" w:eastAsia="文泉驿微米黑" w:hAnsi="文泉驿微米黑" w:cs="Arial Unicode MS"/>
          <w:sz w:val="24"/>
          <w:szCs w:val="24"/>
          <w:highlight w:val="white"/>
        </w:rPr>
        <w:t>），其中一个副本是 Leader，提供读写服务。TiKV 通过 PD 对这些 Region 以及副本进行调度，以保证数据和读写负载都均匀地分散在各个 TiKV 上，这样的设计保证了整个集群资源的充分利用并且可以随着机器数量的增加水平扩展。</w:t>
      </w:r>
    </w:p>
    <w:p w14:paraId="5703712B"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3A1970F6" w14:textId="77777777" w:rsidR="007E0E62" w:rsidRPr="006C3298" w:rsidRDefault="00571458">
      <w:pPr>
        <w:widowControl w:val="0"/>
        <w:spacing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虽然 TiKV 将数据按照范围切割成了多个 Region，但是同一个节点的所有 Region 数据仍然是不加区分地存储于同一个 RocksDB 实例上，而用于 Raft 协议复制所需要的日志则存储于另一个 RocksDB 实例。这样设计的原因是因为随机 I/O 的性能远低于顺序 I/O，所以 TiKV 使用同一个 RocksDB 实例来存储这些数据，以便不同 Region 的写入可以合并在一次 I/O 中。</w:t>
      </w:r>
    </w:p>
    <w:p w14:paraId="7D0F6E3F" w14:textId="77777777" w:rsidR="007E0E62" w:rsidRPr="006C3298" w:rsidRDefault="007E0E62">
      <w:pPr>
        <w:widowControl w:val="0"/>
        <w:spacing w:line="360" w:lineRule="auto"/>
        <w:jc w:val="both"/>
        <w:rPr>
          <w:rFonts w:ascii="文泉驿微米黑" w:eastAsia="文泉驿微米黑" w:hAnsi="文泉驿微米黑" w:cs="Helvetica Neue"/>
          <w:sz w:val="24"/>
          <w:szCs w:val="24"/>
          <w:highlight w:val="white"/>
        </w:rPr>
      </w:pPr>
    </w:p>
    <w:p w14:paraId="540561C5" w14:textId="77777777" w:rsidR="007E0E62" w:rsidRPr="006C3298" w:rsidRDefault="00571458">
      <w:pPr>
        <w:widowControl w:val="0"/>
        <w:shd w:val="clear" w:color="auto" w:fill="FFFFFF"/>
        <w:spacing w:after="24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Region 与副本之间通过 Raft 协议来维持数据一致性，</w:t>
      </w:r>
      <w:proofErr w:type="gramStart"/>
      <w:r w:rsidRPr="006C3298">
        <w:rPr>
          <w:rFonts w:ascii="文泉驿微米黑" w:eastAsia="文泉驿微米黑" w:hAnsi="文泉驿微米黑" w:cs="Arial Unicode MS"/>
          <w:sz w:val="24"/>
          <w:szCs w:val="24"/>
          <w:highlight w:val="white"/>
        </w:rPr>
        <w:t>任何写</w:t>
      </w:r>
      <w:proofErr w:type="gramEnd"/>
      <w:r w:rsidRPr="006C3298">
        <w:rPr>
          <w:rFonts w:ascii="文泉驿微米黑" w:eastAsia="文泉驿微米黑" w:hAnsi="文泉驿微米黑" w:cs="Arial Unicode MS"/>
          <w:sz w:val="24"/>
          <w:szCs w:val="24"/>
          <w:highlight w:val="white"/>
        </w:rPr>
        <w:t>请求都只能在 Leader 上</w:t>
      </w:r>
      <w:r w:rsidRPr="006C3298">
        <w:rPr>
          <w:rFonts w:ascii="文泉驿微米黑" w:eastAsia="文泉驿微米黑" w:hAnsi="文泉驿微米黑" w:cs="Arial Unicode MS"/>
          <w:sz w:val="24"/>
          <w:szCs w:val="24"/>
          <w:highlight w:val="white"/>
        </w:rPr>
        <w:lastRenderedPageBreak/>
        <w:t>写入，并且需要写入多数副本后（默认配置为 3 副本，即所有请求必须至少写入两个副本成功）才会返回客户端写入成功。</w:t>
      </w:r>
    </w:p>
    <w:p w14:paraId="6D849835" w14:textId="77777777" w:rsidR="007E0E62" w:rsidRPr="006C3298" w:rsidRDefault="00571458">
      <w:pPr>
        <w:widowControl w:val="0"/>
        <w:shd w:val="clear" w:color="auto" w:fill="FFFFFF"/>
        <w:spacing w:after="24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当某个 Region 的大小超过一定限制（默认是 144MB）后，TiKV 会将它分裂为两个或者更多</w:t>
      </w:r>
      <w:proofErr w:type="gramStart"/>
      <w:r w:rsidRPr="006C3298">
        <w:rPr>
          <w:rFonts w:ascii="文泉驿微米黑" w:eastAsia="文泉驿微米黑" w:hAnsi="文泉驿微米黑" w:cs="Arial Unicode MS"/>
          <w:sz w:val="24"/>
          <w:szCs w:val="24"/>
          <w:highlight w:val="white"/>
        </w:rPr>
        <w:t>个</w:t>
      </w:r>
      <w:proofErr w:type="gramEnd"/>
      <w:r w:rsidRPr="006C3298">
        <w:rPr>
          <w:rFonts w:ascii="文泉驿微米黑" w:eastAsia="文泉驿微米黑" w:hAnsi="文泉驿微米黑" w:cs="Arial Unicode MS"/>
          <w:sz w:val="24"/>
          <w:szCs w:val="24"/>
          <w:highlight w:val="white"/>
        </w:rPr>
        <w:t xml:space="preserve"> Region，以保证各个 Region 的大小是大致接近的，这样更有利于 PD 进行调度决策。同样，当某个 Region 因为大量的删除请求导致 Region 的大小变得更小时，TiKV 会将比较小的两个相邻 Region 合并为一个。</w:t>
      </w:r>
    </w:p>
    <w:p w14:paraId="12D01AB3" w14:textId="77777777" w:rsidR="007E0E62" w:rsidRPr="006C3298" w:rsidRDefault="00571458">
      <w:pPr>
        <w:widowControl w:val="0"/>
        <w:shd w:val="clear" w:color="auto" w:fill="FFFFFF"/>
        <w:spacing w:after="24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当 PD 需要把某个 Region 的一个副本从一个 TiKV 节点调度到另一个上面时，PD 会先为这个 Raft Group 在目标节点上增加一个 Learner 副本（虽然会复制 Leader 的数据，但是</w:t>
      </w:r>
      <w:proofErr w:type="gramStart"/>
      <w:r w:rsidRPr="006C3298">
        <w:rPr>
          <w:rFonts w:ascii="文泉驿微米黑" w:eastAsia="文泉驿微米黑" w:hAnsi="文泉驿微米黑" w:cs="Arial Unicode MS"/>
          <w:sz w:val="24"/>
          <w:szCs w:val="24"/>
          <w:highlight w:val="white"/>
        </w:rPr>
        <w:t>不会计入写请求</w:t>
      </w:r>
      <w:proofErr w:type="gramEnd"/>
      <w:r w:rsidRPr="006C3298">
        <w:rPr>
          <w:rFonts w:ascii="文泉驿微米黑" w:eastAsia="文泉驿微米黑" w:hAnsi="文泉驿微米黑" w:cs="Arial Unicode MS"/>
          <w:sz w:val="24"/>
          <w:szCs w:val="24"/>
          <w:highlight w:val="white"/>
        </w:rPr>
        <w:t>的多数副本中）。当这个 Learner 副本的进度大致追上 Leader 副本时，Leader 会将它变更为 Follower，之后再移除操作节点的 Follower 副本，这样就完成了 Region 副本的一次调度。</w:t>
      </w:r>
    </w:p>
    <w:p w14:paraId="549CF8CD" w14:textId="77777777" w:rsidR="007E0E62" w:rsidRPr="006C3298" w:rsidRDefault="00571458">
      <w:pPr>
        <w:widowControl w:val="0"/>
        <w:shd w:val="clear" w:color="auto" w:fill="FFFFFF"/>
        <w:spacing w:after="240" w:line="36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Arial Unicode MS"/>
          <w:sz w:val="24"/>
          <w:szCs w:val="24"/>
          <w:highlight w:val="white"/>
        </w:rPr>
        <w:t>Leader 副本的调度原理也类似，不过需要在目标节点的 Learner 副本变为 Follower 副本后，再执行一次 Leader Transfer，让该 Follower 主动发起一次选举成为新 Leader，之后新 Leader 负责删除旧 Leader 这个副本。</w:t>
      </w:r>
    </w:p>
    <w:p w14:paraId="2501BE05"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4EE38EB9" w14:textId="77777777" w:rsidR="007E0E62" w:rsidRPr="006C3298" w:rsidRDefault="00571458">
      <w:pPr>
        <w:pStyle w:val="2"/>
        <w:rPr>
          <w:rFonts w:ascii="文泉驿微米黑" w:eastAsia="文泉驿微米黑" w:hAnsi="文泉驿微米黑"/>
        </w:rPr>
      </w:pPr>
      <w:bookmarkStart w:id="24" w:name="_Toc98332909"/>
      <w:r w:rsidRPr="006C3298">
        <w:rPr>
          <w:rFonts w:ascii="文泉驿微米黑" w:eastAsia="文泉驿微米黑" w:hAnsi="文泉驿微米黑" w:cs="Arial Unicode MS"/>
        </w:rPr>
        <w:t>故障自动转移与恢复</w:t>
      </w:r>
      <w:bookmarkEnd w:id="24"/>
    </w:p>
    <w:p w14:paraId="0AE71EEF"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5F9A747D"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元数据管理组件 PD 通常是由 3 或者 5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节点组成的集群，每一个节点都存储了全量了元数据信息，任意节点的故障都不会影响服务的正常运转。</w:t>
      </w:r>
    </w:p>
    <w:p w14:paraId="4373CC0E"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4C681D76"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数据存储层由多个 TiKV 存储节点组成，通常 TiKV 的节点数大于等于 3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 xml:space="preserve">。默认情况下每一份数据都有 3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 xml:space="preserve">副本，分别存储在不同的 3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 xml:space="preserve"> TiKV 存储节点上，当某一个 TiKV 存储节点出现故障的时候，其他两个 TiKV 存储节点可以保证对这份数据继续提供服务。当某个 TiKV 存储节点长时间（超过 30 分钟）处于故障的时候，原信息管理组件 </w:t>
      </w:r>
      <w:r w:rsidRPr="006C3298">
        <w:rPr>
          <w:rFonts w:ascii="文泉驿微米黑" w:eastAsia="文泉驿微米黑" w:hAnsi="文泉驿微米黑" w:cs="Arial Unicode MS"/>
          <w:sz w:val="24"/>
          <w:szCs w:val="24"/>
        </w:rPr>
        <w:lastRenderedPageBreak/>
        <w:t>PD 会自动发起补充数据副本的动作，让这部分数据从 2 副本状态恢复到 3 副本的健康状态。</w:t>
      </w:r>
    </w:p>
    <w:p w14:paraId="513F12AE" w14:textId="77777777" w:rsidR="007E0E62" w:rsidRPr="006C3298" w:rsidRDefault="007E0E62">
      <w:pPr>
        <w:widowControl w:val="0"/>
        <w:spacing w:line="360" w:lineRule="auto"/>
        <w:jc w:val="both"/>
        <w:rPr>
          <w:rFonts w:ascii="文泉驿微米黑" w:eastAsia="文泉驿微米黑" w:hAnsi="文泉驿微米黑" w:cs="Helvetica Neue"/>
          <w:sz w:val="24"/>
          <w:szCs w:val="24"/>
        </w:rPr>
      </w:pPr>
    </w:p>
    <w:p w14:paraId="7BBC7CBE" w14:textId="77777777" w:rsidR="007E0E62" w:rsidRPr="006C3298" w:rsidRDefault="00571458">
      <w:pPr>
        <w:widowControl w:val="0"/>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计算层（SQL 层）由多个无状态的节点 TiDB 组成，通常会在应用和 TiDB 组件之间使用 负载均衡中间件，如 HAProxy，当某个 TiDB 计算节点出现故障时，HAProxy 会自动将请求路由到其他存活的 TiDB 节点上，保证服务的高可用性。</w:t>
      </w:r>
    </w:p>
    <w:p w14:paraId="090A7592" w14:textId="77777777" w:rsidR="007E0E62" w:rsidRPr="006C3298" w:rsidRDefault="007E0E62">
      <w:pPr>
        <w:widowControl w:val="0"/>
        <w:spacing w:line="240" w:lineRule="auto"/>
        <w:jc w:val="both"/>
        <w:rPr>
          <w:rFonts w:ascii="文泉驿微米黑" w:eastAsia="文泉驿微米黑" w:hAnsi="文泉驿微米黑" w:cs="Helvetica Neue"/>
          <w:sz w:val="24"/>
          <w:szCs w:val="24"/>
        </w:rPr>
      </w:pPr>
    </w:p>
    <w:p w14:paraId="714D0EEB" w14:textId="77777777" w:rsidR="007E0E62" w:rsidRPr="006C3298" w:rsidRDefault="00571458">
      <w:pPr>
        <w:pStyle w:val="2"/>
        <w:rPr>
          <w:rFonts w:ascii="文泉驿微米黑" w:eastAsia="文泉驿微米黑" w:hAnsi="文泉驿微米黑"/>
        </w:rPr>
      </w:pPr>
      <w:bookmarkStart w:id="25" w:name="_Toc98332910"/>
      <w:r w:rsidRPr="006C3298">
        <w:rPr>
          <w:rFonts w:ascii="文泉驿微米黑" w:eastAsia="文泉驿微米黑" w:hAnsi="文泉驿微米黑" w:cs="Arial Unicode MS"/>
        </w:rPr>
        <w:t>备份与恢复</w:t>
      </w:r>
      <w:bookmarkEnd w:id="25"/>
    </w:p>
    <w:p w14:paraId="34424602" w14:textId="77777777" w:rsidR="007E0E62" w:rsidRPr="006C3298" w:rsidRDefault="007E0E62">
      <w:pPr>
        <w:spacing w:line="240" w:lineRule="auto"/>
        <w:rPr>
          <w:rFonts w:ascii="文泉驿微米黑" w:eastAsia="文泉驿微米黑" w:hAnsi="文泉驿微米黑" w:cs="Helvetica Neue"/>
          <w:sz w:val="24"/>
          <w:szCs w:val="24"/>
        </w:rPr>
      </w:pPr>
    </w:p>
    <w:p w14:paraId="6D847F49" w14:textId="77777777" w:rsidR="007E0E62" w:rsidRPr="006C3298" w:rsidRDefault="00571458">
      <w:pPr>
        <w:spacing w:after="200"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TiDB分布式数据库软件提供在线的，一致性的全量备份、增量备份，全量恢复、增量恢复，同时可以通过 TiDB 提供自身的 Binlog 输出，实时生成数据增量备份，也可以实时同步数据到 MySQL或者其他数据存储便捷的实现TiDB到其它数据和处理系统的数据交互： </w:t>
      </w:r>
    </w:p>
    <w:p w14:paraId="0F13F514" w14:textId="77777777" w:rsidR="007E0E62" w:rsidRPr="006C3298" w:rsidRDefault="00571458">
      <w:pPr>
        <w:numPr>
          <w:ilvl w:val="0"/>
          <w:numId w:val="10"/>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具备在线全量备份、在线增量备份和在线增量备份的功能，增量备份不依赖全量备份。</w:t>
      </w:r>
    </w:p>
    <w:p w14:paraId="0BADC6ED" w14:textId="77777777" w:rsidR="007E0E62" w:rsidRPr="006C3298" w:rsidRDefault="00571458">
      <w:pPr>
        <w:numPr>
          <w:ilvl w:val="0"/>
          <w:numId w:val="10"/>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支持到任意时间点的备份还原操作。全量备份和增量备份数据强一致、时间点强一致、不阻塞业务服务。</w:t>
      </w:r>
    </w:p>
    <w:p w14:paraId="24B53097" w14:textId="77777777" w:rsidR="007E0E62" w:rsidRPr="006C3298" w:rsidRDefault="00571458">
      <w:pPr>
        <w:numPr>
          <w:ilvl w:val="0"/>
          <w:numId w:val="10"/>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可将</w:t>
      </w:r>
      <w:proofErr w:type="gramStart"/>
      <w:r w:rsidRPr="006C3298">
        <w:rPr>
          <w:rFonts w:ascii="文泉驿微米黑" w:eastAsia="文泉驿微米黑" w:hAnsi="文泉驿微米黑" w:cs="Arial Unicode MS"/>
          <w:sz w:val="24"/>
          <w:szCs w:val="24"/>
        </w:rPr>
        <w:t>任意库表数据</w:t>
      </w:r>
      <w:proofErr w:type="gramEnd"/>
      <w:r w:rsidRPr="006C3298">
        <w:rPr>
          <w:rFonts w:ascii="文泉驿微米黑" w:eastAsia="文泉驿微米黑" w:hAnsi="文泉驿微米黑" w:cs="Arial Unicode MS"/>
          <w:sz w:val="24"/>
          <w:szCs w:val="24"/>
        </w:rPr>
        <w:t>恢复到任意时间点，而不影响</w:t>
      </w:r>
      <w:proofErr w:type="gramStart"/>
      <w:r w:rsidRPr="006C3298">
        <w:rPr>
          <w:rFonts w:ascii="文泉驿微米黑" w:eastAsia="文泉驿微米黑" w:hAnsi="文泉驿微米黑" w:cs="Arial Unicode MS"/>
          <w:sz w:val="24"/>
          <w:szCs w:val="24"/>
        </w:rPr>
        <w:t>其他库表数据</w:t>
      </w:r>
      <w:proofErr w:type="gramEnd"/>
      <w:r w:rsidRPr="006C3298">
        <w:rPr>
          <w:rFonts w:ascii="文泉驿微米黑" w:eastAsia="文泉驿微米黑" w:hAnsi="文泉驿微米黑" w:cs="Arial Unicode MS"/>
          <w:sz w:val="24"/>
          <w:szCs w:val="24"/>
        </w:rPr>
        <w:t>。</w:t>
      </w:r>
    </w:p>
    <w:p w14:paraId="5615D710"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1EE86239"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540CDD47" w14:textId="77777777" w:rsidR="007E0E62" w:rsidRPr="006C3298" w:rsidRDefault="00571458">
      <w:pPr>
        <w:pStyle w:val="2"/>
        <w:rPr>
          <w:rFonts w:ascii="文泉驿微米黑" w:eastAsia="文泉驿微米黑" w:hAnsi="文泉驿微米黑"/>
        </w:rPr>
      </w:pPr>
      <w:bookmarkStart w:id="26" w:name="_Toc98332911"/>
      <w:r w:rsidRPr="006C3298">
        <w:rPr>
          <w:rFonts w:ascii="文泉驿微米黑" w:eastAsia="文泉驿微米黑" w:hAnsi="文泉驿微米黑" w:cs="Arial Unicode MS"/>
        </w:rPr>
        <w:lastRenderedPageBreak/>
        <w:t>同城和异地容灾</w:t>
      </w:r>
      <w:bookmarkEnd w:id="26"/>
    </w:p>
    <w:p w14:paraId="0C91CBF5" w14:textId="77777777" w:rsidR="007E0E62" w:rsidRPr="006C3298" w:rsidRDefault="00571458" w:rsidP="00513DEB">
      <w:pPr>
        <w:pStyle w:val="3"/>
        <w:spacing w:before="280" w:after="290"/>
        <w:ind w:firstLineChars="100" w:firstLine="275"/>
        <w:rPr>
          <w:rFonts w:ascii="文泉驿微米黑" w:eastAsia="文泉驿微米黑" w:hAnsi="文泉驿微米黑"/>
        </w:rPr>
      </w:pPr>
      <w:bookmarkStart w:id="27" w:name="_Toc98332912"/>
      <w:r w:rsidRPr="006C3298">
        <w:rPr>
          <w:rFonts w:ascii="文泉驿微米黑" w:eastAsia="文泉驿微米黑" w:hAnsi="文泉驿微米黑" w:cs="Arial Unicode MS"/>
        </w:rPr>
        <w:t>同城</w:t>
      </w:r>
      <w:proofErr w:type="gramStart"/>
      <w:r w:rsidRPr="006C3298">
        <w:rPr>
          <w:rFonts w:ascii="文泉驿微米黑" w:eastAsia="文泉驿微米黑" w:hAnsi="文泉驿微米黑" w:cs="Arial Unicode MS"/>
        </w:rPr>
        <w:t>三中心</w:t>
      </w:r>
      <w:proofErr w:type="gramEnd"/>
      <w:r w:rsidRPr="006C3298">
        <w:rPr>
          <w:rFonts w:ascii="文泉驿微米黑" w:eastAsia="文泉驿微米黑" w:hAnsi="文泉驿微米黑" w:cs="Arial Unicode MS"/>
        </w:rPr>
        <w:t>容灾</w:t>
      </w:r>
      <w:bookmarkEnd w:id="27"/>
    </w:p>
    <w:p w14:paraId="504A1D57" w14:textId="77777777" w:rsidR="007E0E62" w:rsidRPr="006C3298" w:rsidRDefault="00571458">
      <w:pPr>
        <w:widowControl w:val="0"/>
        <w:spacing w:line="24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Helvetica Neue"/>
          <w:noProof/>
          <w:sz w:val="21"/>
          <w:szCs w:val="21"/>
        </w:rPr>
        <w:drawing>
          <wp:inline distT="114300" distB="114300" distL="114300" distR="114300" wp14:anchorId="34A736C3" wp14:editId="0DECB3E7">
            <wp:extent cx="5274000" cy="2489200"/>
            <wp:effectExtent l="0" t="0" r="0" b="0"/>
            <wp:docPr id="9"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4"/>
                    <a:srcRect/>
                    <a:stretch>
                      <a:fillRect/>
                    </a:stretch>
                  </pic:blipFill>
                  <pic:spPr>
                    <a:xfrm>
                      <a:off x="0" y="0"/>
                      <a:ext cx="5274000" cy="2489200"/>
                    </a:xfrm>
                    <a:prstGeom prst="rect">
                      <a:avLst/>
                    </a:prstGeom>
                    <a:ln/>
                  </pic:spPr>
                </pic:pic>
              </a:graphicData>
            </a:graphic>
          </wp:inline>
        </w:drawing>
      </w:r>
    </w:p>
    <w:p w14:paraId="46547A4E"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31E4EB29" w14:textId="77777777" w:rsidR="007E0E62" w:rsidRPr="006C3298" w:rsidRDefault="00571458">
      <w:pPr>
        <w:widowControl w:val="0"/>
        <w:spacing w:after="20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同城</w:t>
      </w:r>
      <w:proofErr w:type="gramStart"/>
      <w:r w:rsidRPr="006C3298">
        <w:rPr>
          <w:rFonts w:ascii="文泉驿微米黑" w:eastAsia="文泉驿微米黑" w:hAnsi="文泉驿微米黑" w:cs="Arial Unicode MS"/>
          <w:sz w:val="24"/>
          <w:szCs w:val="24"/>
          <w:highlight w:val="white"/>
        </w:rPr>
        <w:t>三数据</w:t>
      </w:r>
      <w:proofErr w:type="gramEnd"/>
      <w:r w:rsidRPr="006C3298">
        <w:rPr>
          <w:rFonts w:ascii="文泉驿微米黑" w:eastAsia="文泉驿微米黑" w:hAnsi="文泉驿微米黑" w:cs="Arial Unicode MS"/>
          <w:sz w:val="24"/>
          <w:szCs w:val="24"/>
          <w:highlight w:val="white"/>
        </w:rPr>
        <w:t>中心方案，即同城存有三个机房部署 TiDB 集群，同城</w:t>
      </w:r>
      <w:proofErr w:type="gramStart"/>
      <w:r w:rsidRPr="006C3298">
        <w:rPr>
          <w:rFonts w:ascii="文泉驿微米黑" w:eastAsia="文泉驿微米黑" w:hAnsi="文泉驿微米黑" w:cs="Arial Unicode MS"/>
          <w:sz w:val="24"/>
          <w:szCs w:val="24"/>
          <w:highlight w:val="white"/>
        </w:rPr>
        <w:t>三数据</w:t>
      </w:r>
      <w:proofErr w:type="gramEnd"/>
      <w:r w:rsidRPr="006C3298">
        <w:rPr>
          <w:rFonts w:ascii="文泉驿微米黑" w:eastAsia="文泉驿微米黑" w:hAnsi="文泉驿微米黑" w:cs="Arial Unicode MS"/>
          <w:sz w:val="24"/>
          <w:szCs w:val="24"/>
          <w:highlight w:val="white"/>
        </w:rPr>
        <w:t>中心间的数据同步通过集群自身内部（Raft 协议）完成。同城</w:t>
      </w:r>
      <w:proofErr w:type="gramStart"/>
      <w:r w:rsidRPr="006C3298">
        <w:rPr>
          <w:rFonts w:ascii="文泉驿微米黑" w:eastAsia="文泉驿微米黑" w:hAnsi="文泉驿微米黑" w:cs="Arial Unicode MS"/>
          <w:sz w:val="24"/>
          <w:szCs w:val="24"/>
          <w:highlight w:val="white"/>
        </w:rPr>
        <w:t>三数据</w:t>
      </w:r>
      <w:proofErr w:type="gramEnd"/>
      <w:r w:rsidRPr="006C3298">
        <w:rPr>
          <w:rFonts w:ascii="文泉驿微米黑" w:eastAsia="文泉驿微米黑" w:hAnsi="文泉驿微米黑" w:cs="Arial Unicode MS"/>
          <w:sz w:val="24"/>
          <w:szCs w:val="24"/>
          <w:highlight w:val="white"/>
        </w:rPr>
        <w:t>中心可同时对外进行读写服务，任意中心发生故障不影响数据一致性。</w:t>
      </w:r>
    </w:p>
    <w:p w14:paraId="361E6228" w14:textId="77777777" w:rsidR="007E0E62" w:rsidRPr="006C3298" w:rsidRDefault="00571458">
      <w:pPr>
        <w:widowControl w:val="0"/>
        <w:spacing w:after="200" w:line="360" w:lineRule="auto"/>
        <w:jc w:val="both"/>
        <w:rPr>
          <w:rFonts w:ascii="文泉驿微米黑" w:eastAsia="文泉驿微米黑" w:hAnsi="文泉驿微米黑" w:cs="Helvetica Neue"/>
          <w:sz w:val="24"/>
          <w:szCs w:val="24"/>
          <w:highlight w:val="white"/>
        </w:rPr>
      </w:pPr>
      <w:r w:rsidRPr="006C3298">
        <w:rPr>
          <w:rFonts w:ascii="文泉驿微米黑" w:eastAsia="文泉驿微米黑" w:hAnsi="文泉驿微米黑" w:cs="Arial Unicode MS"/>
          <w:sz w:val="24"/>
          <w:szCs w:val="24"/>
          <w:highlight w:val="white"/>
        </w:rPr>
        <w:t>优点，如下：</w:t>
      </w:r>
    </w:p>
    <w:p w14:paraId="46A85F57" w14:textId="77777777" w:rsidR="007E0E62" w:rsidRPr="006C3298" w:rsidRDefault="00571458">
      <w:pPr>
        <w:widowControl w:val="0"/>
        <w:numPr>
          <w:ilvl w:val="0"/>
          <w:numId w:val="15"/>
        </w:numPr>
        <w:shd w:val="clear" w:color="auto" w:fill="FFFFFF"/>
        <w:spacing w:before="60" w:line="360" w:lineRule="auto"/>
        <w:rPr>
          <w:rFonts w:ascii="文泉驿微米黑" w:eastAsia="文泉驿微米黑" w:hAnsi="文泉驿微米黑" w:cs="Helvetica Neue"/>
          <w:highlight w:val="white"/>
        </w:rPr>
      </w:pPr>
      <w:r w:rsidRPr="006C3298">
        <w:rPr>
          <w:rFonts w:ascii="文泉驿微米黑" w:eastAsia="文泉驿微米黑" w:hAnsi="文泉驿微米黑" w:cs="Arial Unicode MS"/>
          <w:color w:val="30323E"/>
          <w:sz w:val="24"/>
          <w:szCs w:val="24"/>
          <w:highlight w:val="white"/>
        </w:rPr>
        <w:t>RPO == 0，任何一个数据中心失效后，不会产生任何数据丢失。</w:t>
      </w:r>
    </w:p>
    <w:p w14:paraId="445E5908" w14:textId="77777777" w:rsidR="007E0E62" w:rsidRPr="006C3298" w:rsidRDefault="00571458">
      <w:pPr>
        <w:widowControl w:val="0"/>
        <w:numPr>
          <w:ilvl w:val="0"/>
          <w:numId w:val="15"/>
        </w:numPr>
        <w:shd w:val="clear" w:color="auto" w:fill="FFFFFF"/>
        <w:spacing w:line="360" w:lineRule="auto"/>
        <w:rPr>
          <w:rFonts w:ascii="文泉驿微米黑" w:eastAsia="文泉驿微米黑" w:hAnsi="文泉驿微米黑" w:cs="Helvetica Neue"/>
          <w:highlight w:val="white"/>
        </w:rPr>
      </w:pPr>
      <w:r w:rsidRPr="006C3298">
        <w:rPr>
          <w:rFonts w:ascii="文泉驿微米黑" w:eastAsia="文泉驿微米黑" w:hAnsi="文泉驿微米黑" w:cs="Arial Unicode MS"/>
          <w:color w:val="30323E"/>
          <w:sz w:val="24"/>
          <w:szCs w:val="24"/>
          <w:highlight w:val="white"/>
        </w:rPr>
        <w:t>RTO &lt;= 30s，任何一个数据中心失效后，其他两个数据中心会自动发起 leader election，并在 30s 合理长的时间内自动恢复服务。</w:t>
      </w:r>
    </w:p>
    <w:p w14:paraId="728A6C3C" w14:textId="77777777" w:rsidR="007E0E62" w:rsidRPr="006C3298" w:rsidRDefault="00571458">
      <w:pPr>
        <w:widowControl w:val="0"/>
        <w:numPr>
          <w:ilvl w:val="0"/>
          <w:numId w:val="15"/>
        </w:numPr>
        <w:shd w:val="clear" w:color="auto" w:fill="FFFFFF"/>
        <w:spacing w:after="480" w:line="360" w:lineRule="auto"/>
        <w:rPr>
          <w:rFonts w:ascii="文泉驿微米黑" w:eastAsia="文泉驿微米黑" w:hAnsi="文泉驿微米黑" w:cs="Helvetica Neue"/>
          <w:highlight w:val="white"/>
        </w:rPr>
      </w:pPr>
      <w:r w:rsidRPr="006C3298">
        <w:rPr>
          <w:rFonts w:ascii="文泉驿微米黑" w:eastAsia="文泉驿微米黑" w:hAnsi="文泉驿微米黑" w:cs="Arial Unicode MS"/>
          <w:color w:val="30323E"/>
          <w:sz w:val="24"/>
          <w:szCs w:val="24"/>
          <w:highlight w:val="white"/>
        </w:rPr>
        <w:t>副本或者节点</w:t>
      </w:r>
      <w:proofErr w:type="gramStart"/>
      <w:r w:rsidRPr="006C3298">
        <w:rPr>
          <w:rFonts w:ascii="文泉驿微米黑" w:eastAsia="文泉驿微米黑" w:hAnsi="文泉驿微米黑" w:cs="Arial Unicode MS"/>
          <w:color w:val="30323E"/>
          <w:sz w:val="24"/>
          <w:szCs w:val="24"/>
          <w:highlight w:val="white"/>
        </w:rPr>
        <w:t>宕</w:t>
      </w:r>
      <w:proofErr w:type="gramEnd"/>
      <w:r w:rsidRPr="006C3298">
        <w:rPr>
          <w:rFonts w:ascii="文泉驿微米黑" w:eastAsia="文泉驿微米黑" w:hAnsi="文泉驿微米黑" w:cs="Arial Unicode MS"/>
          <w:color w:val="30323E"/>
          <w:sz w:val="24"/>
          <w:szCs w:val="24"/>
          <w:highlight w:val="white"/>
        </w:rPr>
        <w:t>机，自己补齐副本，确保有三个副本。</w:t>
      </w:r>
    </w:p>
    <w:p w14:paraId="43671BF4" w14:textId="77777777" w:rsidR="007E0E62" w:rsidRPr="006C3298" w:rsidRDefault="00571458">
      <w:pPr>
        <w:widowControl w:val="0"/>
        <w:spacing w:after="200"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缺点，如下：</w:t>
      </w:r>
    </w:p>
    <w:p w14:paraId="65A837AE" w14:textId="77777777" w:rsidR="007E0E62" w:rsidRPr="006C3298" w:rsidRDefault="00571458">
      <w:pPr>
        <w:widowControl w:val="0"/>
        <w:numPr>
          <w:ilvl w:val="0"/>
          <w:numId w:val="16"/>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对于写入的场景，所有写入的数据需要同步复制到至少 2 </w:t>
      </w:r>
      <w:proofErr w:type="gramStart"/>
      <w:r w:rsidRPr="006C3298">
        <w:rPr>
          <w:rFonts w:ascii="文泉驿微米黑" w:eastAsia="文泉驿微米黑" w:hAnsi="文泉驿微米黑" w:cs="Arial Unicode MS"/>
          <w:sz w:val="24"/>
          <w:szCs w:val="24"/>
        </w:rPr>
        <w:t>个</w:t>
      </w:r>
      <w:proofErr w:type="gramEnd"/>
      <w:r w:rsidRPr="006C3298">
        <w:rPr>
          <w:rFonts w:ascii="文泉驿微米黑" w:eastAsia="文泉驿微米黑" w:hAnsi="文泉驿微米黑" w:cs="Arial Unicode MS"/>
          <w:sz w:val="24"/>
          <w:szCs w:val="24"/>
        </w:rPr>
        <w:t>数据中心，由于 TiDB 写入过程使用两阶段提交，故写入延迟至少需要 2 倍数据中心间的延迟。</w:t>
      </w:r>
    </w:p>
    <w:p w14:paraId="016CF877" w14:textId="77777777" w:rsidR="007E0E62" w:rsidRPr="006C3298" w:rsidRDefault="00571458">
      <w:pPr>
        <w:widowControl w:val="0"/>
        <w:numPr>
          <w:ilvl w:val="0"/>
          <w:numId w:val="16"/>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对于读请求来说，如果数据 </w:t>
      </w:r>
      <w:r w:rsidRPr="006C3298">
        <w:rPr>
          <w:rFonts w:ascii="文泉驿微米黑" w:eastAsia="文泉驿微米黑" w:hAnsi="文泉驿微米黑" w:cs="Helvetica Neue"/>
          <w:sz w:val="24"/>
          <w:szCs w:val="24"/>
          <w:highlight w:val="white"/>
        </w:rPr>
        <w:t xml:space="preserve">Leader </w:t>
      </w:r>
      <w:r w:rsidRPr="006C3298">
        <w:rPr>
          <w:rFonts w:ascii="文泉驿微米黑" w:eastAsia="文泉驿微米黑" w:hAnsi="文泉驿微米黑" w:cs="Arial Unicode MS"/>
          <w:sz w:val="24"/>
          <w:szCs w:val="24"/>
        </w:rPr>
        <w:t>与发起读取的 TiDB 节点不在同一个数据中</w:t>
      </w:r>
      <w:r w:rsidRPr="006C3298">
        <w:rPr>
          <w:rFonts w:ascii="文泉驿微米黑" w:eastAsia="文泉驿微米黑" w:hAnsi="文泉驿微米黑" w:cs="Arial Unicode MS"/>
          <w:sz w:val="24"/>
          <w:szCs w:val="24"/>
        </w:rPr>
        <w:lastRenderedPageBreak/>
        <w:t>心，也会受网络延迟影响。</w:t>
      </w:r>
    </w:p>
    <w:p w14:paraId="4C849012" w14:textId="77777777" w:rsidR="007E0E62" w:rsidRPr="006C3298" w:rsidRDefault="00571458">
      <w:pPr>
        <w:widowControl w:val="0"/>
        <w:numPr>
          <w:ilvl w:val="0"/>
          <w:numId w:val="16"/>
        </w:numPr>
        <w:spacing w:line="360" w:lineRule="auto"/>
        <w:jc w:val="both"/>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 xml:space="preserve">TiDB 中的每个事务都需要向 PD </w:t>
      </w:r>
      <w:r w:rsidRPr="006C3298">
        <w:rPr>
          <w:rFonts w:ascii="文泉驿微米黑" w:eastAsia="文泉驿微米黑" w:hAnsi="文泉驿微米黑" w:cs="Helvetica Neue"/>
          <w:sz w:val="24"/>
          <w:szCs w:val="24"/>
          <w:highlight w:val="white"/>
        </w:rPr>
        <w:t>Leader</w:t>
      </w:r>
      <w:r w:rsidRPr="006C3298">
        <w:rPr>
          <w:rFonts w:ascii="文泉驿微米黑" w:eastAsia="文泉驿微米黑" w:hAnsi="文泉驿微米黑" w:cs="Arial Unicode MS"/>
          <w:sz w:val="24"/>
          <w:szCs w:val="24"/>
        </w:rPr>
        <w:t xml:space="preserve">获取 TSO，当 TiDB 与 PD </w:t>
      </w:r>
      <w:r w:rsidRPr="006C3298">
        <w:rPr>
          <w:rFonts w:ascii="文泉驿微米黑" w:eastAsia="文泉驿微米黑" w:hAnsi="文泉驿微米黑" w:cs="Helvetica Neue"/>
          <w:sz w:val="24"/>
          <w:szCs w:val="24"/>
          <w:highlight w:val="white"/>
        </w:rPr>
        <w:t>Leader</w:t>
      </w:r>
      <w:r w:rsidRPr="006C3298">
        <w:rPr>
          <w:rFonts w:ascii="文泉驿微米黑" w:eastAsia="文泉驿微米黑" w:hAnsi="文泉驿微米黑" w:cs="Arial Unicode MS"/>
          <w:sz w:val="24"/>
          <w:szCs w:val="24"/>
        </w:rPr>
        <w:t>不在同一个数据中心时，它上面运行的事务也会因此受网络延迟影响，每个有写入的事务会获取两次 TSO。</w:t>
      </w:r>
    </w:p>
    <w:p w14:paraId="1497EE24"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239793BA" w14:textId="77777777" w:rsidR="007E0E62" w:rsidRPr="006C3298" w:rsidRDefault="00571458" w:rsidP="00513DEB">
      <w:pPr>
        <w:pStyle w:val="3"/>
        <w:spacing w:before="280" w:after="290"/>
        <w:ind w:left="0"/>
        <w:rPr>
          <w:rFonts w:ascii="文泉驿微米黑" w:eastAsia="文泉驿微米黑" w:hAnsi="文泉驿微米黑"/>
        </w:rPr>
      </w:pPr>
      <w:bookmarkStart w:id="28" w:name="_Toc98332913"/>
      <w:r w:rsidRPr="006C3298">
        <w:rPr>
          <w:rFonts w:ascii="文泉驿微米黑" w:eastAsia="文泉驿微米黑" w:hAnsi="文泉驿微米黑" w:cs="Arial Unicode MS"/>
        </w:rPr>
        <w:t>两地</w:t>
      </w:r>
      <w:proofErr w:type="gramStart"/>
      <w:r w:rsidRPr="006C3298">
        <w:rPr>
          <w:rFonts w:ascii="文泉驿微米黑" w:eastAsia="文泉驿微米黑" w:hAnsi="文泉驿微米黑" w:cs="Arial Unicode MS"/>
        </w:rPr>
        <w:t>三中心</w:t>
      </w:r>
      <w:proofErr w:type="gramEnd"/>
      <w:r w:rsidRPr="006C3298">
        <w:rPr>
          <w:rFonts w:ascii="文泉驿微米黑" w:eastAsia="文泉驿微米黑" w:hAnsi="文泉驿微米黑" w:cs="Arial Unicode MS"/>
        </w:rPr>
        <w:t>容灾</w:t>
      </w:r>
      <w:bookmarkEnd w:id="28"/>
    </w:p>
    <w:p w14:paraId="090B0657" w14:textId="77777777" w:rsidR="007E0E62" w:rsidRPr="006C3298" w:rsidRDefault="00571458">
      <w:pPr>
        <w:widowControl w:val="0"/>
        <w:spacing w:line="240" w:lineRule="auto"/>
        <w:jc w:val="both"/>
        <w:rPr>
          <w:rFonts w:ascii="文泉驿微米黑" w:eastAsia="文泉驿微米黑" w:hAnsi="文泉驿微米黑" w:cs="Helvetica Neue"/>
          <w:sz w:val="21"/>
          <w:szCs w:val="21"/>
        </w:rPr>
      </w:pPr>
      <w:r w:rsidRPr="006C3298">
        <w:rPr>
          <w:rFonts w:ascii="文泉驿微米黑" w:eastAsia="文泉驿微米黑" w:hAnsi="文泉驿微米黑" w:cs="Helvetica Neue"/>
          <w:noProof/>
          <w:sz w:val="21"/>
          <w:szCs w:val="21"/>
        </w:rPr>
        <w:drawing>
          <wp:inline distT="114300" distB="114300" distL="114300" distR="114300" wp14:anchorId="4CBE6F52" wp14:editId="40C184CA">
            <wp:extent cx="5274000" cy="2794000"/>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5"/>
                    <a:srcRect/>
                    <a:stretch>
                      <a:fillRect/>
                    </a:stretch>
                  </pic:blipFill>
                  <pic:spPr>
                    <a:xfrm>
                      <a:off x="0" y="0"/>
                      <a:ext cx="5274000" cy="2794000"/>
                    </a:xfrm>
                    <a:prstGeom prst="rect">
                      <a:avLst/>
                    </a:prstGeom>
                    <a:ln/>
                  </pic:spPr>
                </pic:pic>
              </a:graphicData>
            </a:graphic>
          </wp:inline>
        </w:drawing>
      </w:r>
    </w:p>
    <w:p w14:paraId="06FEDAD3" w14:textId="77777777" w:rsidR="007E0E62" w:rsidRPr="006C3298" w:rsidRDefault="007E0E62">
      <w:pPr>
        <w:widowControl w:val="0"/>
        <w:spacing w:line="240" w:lineRule="auto"/>
        <w:jc w:val="both"/>
        <w:rPr>
          <w:rFonts w:ascii="文泉驿微米黑" w:eastAsia="文泉驿微米黑" w:hAnsi="文泉驿微米黑" w:cs="Helvetica Neue"/>
          <w:sz w:val="21"/>
          <w:szCs w:val="21"/>
        </w:rPr>
      </w:pPr>
    </w:p>
    <w:p w14:paraId="7A1D925C" w14:textId="77777777" w:rsidR="007E0E62" w:rsidRPr="006C3298" w:rsidRDefault="00571458">
      <w:pPr>
        <w:spacing w:after="200"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两地</w:t>
      </w:r>
      <w:proofErr w:type="gramStart"/>
      <w:r w:rsidRPr="006C3298">
        <w:rPr>
          <w:rFonts w:ascii="文泉驿微米黑" w:eastAsia="文泉驿微米黑" w:hAnsi="文泉驿微米黑" w:cs="Arial Unicode MS"/>
          <w:sz w:val="24"/>
          <w:szCs w:val="24"/>
        </w:rPr>
        <w:t>三中心</w:t>
      </w:r>
      <w:proofErr w:type="gramEnd"/>
      <w:r w:rsidRPr="006C3298">
        <w:rPr>
          <w:rFonts w:ascii="文泉驿微米黑" w:eastAsia="文泉驿微米黑" w:hAnsi="文泉驿微米黑" w:cs="Arial Unicode MS"/>
          <w:sz w:val="24"/>
          <w:szCs w:val="24"/>
        </w:rPr>
        <w:t>容灾主案，即同城主集群两机房 5 副本，异地备集群 3 副本，主备集群之间使用 Binlog 同步，主 TiDB 数据库集群持续对外提供服务，同时通过 TiDB Binlog 将数据库的日志流式发送</w:t>
      </w:r>
      <w:proofErr w:type="gramStart"/>
      <w:r w:rsidRPr="006C3298">
        <w:rPr>
          <w:rFonts w:ascii="文泉驿微米黑" w:eastAsia="文泉驿微米黑" w:hAnsi="文泉驿微米黑" w:cs="Arial Unicode MS"/>
          <w:sz w:val="24"/>
          <w:szCs w:val="24"/>
        </w:rPr>
        <w:t>给灾备数据</w:t>
      </w:r>
      <w:proofErr w:type="gramEnd"/>
      <w:r w:rsidRPr="006C3298">
        <w:rPr>
          <w:rFonts w:ascii="文泉驿微米黑" w:eastAsia="文泉驿微米黑" w:hAnsi="文泉驿微米黑" w:cs="Arial Unicode MS"/>
          <w:sz w:val="24"/>
          <w:szCs w:val="24"/>
        </w:rPr>
        <w:t>中心的 TiDB 从数据库集群进行数据同步。主站点发生不可抗力的故障导致整体</w:t>
      </w:r>
      <w:proofErr w:type="gramStart"/>
      <w:r w:rsidRPr="006C3298">
        <w:rPr>
          <w:rFonts w:ascii="文泉驿微米黑" w:eastAsia="文泉驿微米黑" w:hAnsi="文泉驿微米黑" w:cs="Arial Unicode MS"/>
          <w:sz w:val="24"/>
          <w:szCs w:val="24"/>
        </w:rPr>
        <w:t>不</w:t>
      </w:r>
      <w:proofErr w:type="gramEnd"/>
      <w:r w:rsidRPr="006C3298">
        <w:rPr>
          <w:rFonts w:ascii="文泉驿微米黑" w:eastAsia="文泉驿微米黑" w:hAnsi="文泉驿微米黑" w:cs="Arial Unicode MS"/>
          <w:sz w:val="24"/>
          <w:szCs w:val="24"/>
        </w:rPr>
        <w:t>可用后，TiDB 从数据库集群拥有全量备份数据，可以立刻开始接受灾备切换后的业务访问。</w:t>
      </w:r>
    </w:p>
    <w:p w14:paraId="5B84DF16" w14:textId="77777777" w:rsidR="007E0E62" w:rsidRPr="006C3298" w:rsidRDefault="00571458">
      <w:pPr>
        <w:spacing w:after="200"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优点，如下：</w:t>
      </w:r>
    </w:p>
    <w:p w14:paraId="136F3F03" w14:textId="77777777" w:rsidR="007E0E62" w:rsidRPr="006C3298" w:rsidRDefault="00571458">
      <w:pPr>
        <w:numPr>
          <w:ilvl w:val="0"/>
          <w:numId w:val="4"/>
        </w:numPr>
        <w:spacing w:line="360" w:lineRule="auto"/>
        <w:rPr>
          <w:rFonts w:ascii="文泉驿微米黑" w:eastAsia="文泉驿微米黑" w:hAnsi="文泉驿微米黑" w:cs="Helvetica Neue"/>
          <w:sz w:val="24"/>
          <w:szCs w:val="24"/>
        </w:rPr>
      </w:pPr>
      <w:r w:rsidRPr="006C3298">
        <w:rPr>
          <w:rFonts w:ascii="文泉驿微米黑" w:eastAsia="文泉驿微米黑" w:hAnsi="文泉驿微米黑" w:cs="Arial Unicode MS"/>
          <w:sz w:val="24"/>
          <w:szCs w:val="24"/>
        </w:rPr>
        <w:t>同城 2 副本单机房 或者 异地机房</w:t>
      </w:r>
      <w:proofErr w:type="gramStart"/>
      <w:r w:rsidRPr="006C3298">
        <w:rPr>
          <w:rFonts w:ascii="文泉驿微米黑" w:eastAsia="文泉驿微米黑" w:hAnsi="文泉驿微米黑" w:cs="Arial Unicode MS"/>
          <w:sz w:val="24"/>
          <w:szCs w:val="24"/>
        </w:rPr>
        <w:t>宕</w:t>
      </w:r>
      <w:proofErr w:type="gramEnd"/>
      <w:r w:rsidRPr="006C3298">
        <w:rPr>
          <w:rFonts w:ascii="文泉驿微米黑" w:eastAsia="文泉驿微米黑" w:hAnsi="文泉驿微米黑" w:cs="Arial Unicode MS"/>
          <w:sz w:val="24"/>
          <w:szCs w:val="24"/>
        </w:rPr>
        <w:t>机不影响业务的连续性</w:t>
      </w:r>
    </w:p>
    <w:p w14:paraId="4A964CC0" w14:textId="49AAB933" w:rsidR="007E0E62" w:rsidRPr="00774455" w:rsidRDefault="00571458" w:rsidP="00774455">
      <w:pPr>
        <w:widowControl w:val="0"/>
        <w:numPr>
          <w:ilvl w:val="0"/>
          <w:numId w:val="4"/>
        </w:numPr>
        <w:spacing w:line="240" w:lineRule="auto"/>
        <w:jc w:val="both"/>
        <w:rPr>
          <w:rFonts w:ascii="文泉驿微米黑" w:eastAsia="文泉驿微米黑" w:hAnsi="文泉驿微米黑" w:cs="Helvetica Neue"/>
          <w:sz w:val="21"/>
          <w:szCs w:val="21"/>
        </w:rPr>
      </w:pPr>
      <w:r w:rsidRPr="00774455">
        <w:rPr>
          <w:rFonts w:ascii="文泉驿微米黑" w:eastAsia="文泉驿微米黑" w:hAnsi="文泉驿微米黑" w:cs="Arial Unicode MS"/>
          <w:sz w:val="24"/>
          <w:szCs w:val="24"/>
        </w:rPr>
        <w:t>RPO &lt; 30s、RTO &lt;= 15min</w:t>
      </w:r>
    </w:p>
    <w:p w14:paraId="030B2BC8" w14:textId="77777777" w:rsidR="007E0E62" w:rsidRPr="006C3298" w:rsidRDefault="007E0E62">
      <w:pPr>
        <w:widowControl w:val="0"/>
        <w:spacing w:line="360" w:lineRule="auto"/>
        <w:jc w:val="both"/>
        <w:rPr>
          <w:rFonts w:ascii="文泉驿微米黑" w:eastAsia="文泉驿微米黑" w:hAnsi="文泉驿微米黑" w:cs="Helvetica Neue"/>
          <w:highlight w:val="yellow"/>
        </w:rPr>
      </w:pPr>
    </w:p>
    <w:p w14:paraId="5E9B5CD0" w14:textId="77777777" w:rsidR="007E0E62" w:rsidRPr="006C3298" w:rsidRDefault="007E0E62">
      <w:pPr>
        <w:widowControl w:val="0"/>
        <w:spacing w:line="360" w:lineRule="auto"/>
        <w:jc w:val="both"/>
        <w:rPr>
          <w:rFonts w:ascii="文泉驿微米黑" w:eastAsia="文泉驿微米黑" w:hAnsi="文泉驿微米黑" w:cs="Helvetica Neue"/>
          <w:highlight w:val="yellow"/>
        </w:rPr>
      </w:pPr>
    </w:p>
    <w:sectPr w:rsidR="007E0E62" w:rsidRPr="006C3298">
      <w:pgSz w:w="11909" w:h="1683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BA4244" w14:textId="77777777" w:rsidR="00220196" w:rsidRDefault="00220196">
      <w:pPr>
        <w:spacing w:line="240" w:lineRule="auto"/>
      </w:pPr>
      <w:r>
        <w:separator/>
      </w:r>
    </w:p>
  </w:endnote>
  <w:endnote w:type="continuationSeparator" w:id="0">
    <w:p w14:paraId="14F6A306" w14:textId="77777777" w:rsidR="00220196" w:rsidRDefault="0022019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Helvetica Neue">
    <w:panose1 w:val="02000503000000020004"/>
    <w:charset w:val="00"/>
    <w:family w:val="auto"/>
    <w:pitch w:val="variable"/>
    <w:sig w:usb0="E50002FF" w:usb1="500079DB" w:usb2="00001010" w:usb3="00000000" w:csb0="0000019F" w:csb1="00000000"/>
  </w:font>
  <w:font w:name="文泉驿微米黑">
    <w:altName w:val="文泉驿微米黑"/>
    <w:panose1 w:val="020B0606030804020204"/>
    <w:charset w:val="86"/>
    <w:family w:val="swiss"/>
    <w:pitch w:val="variable"/>
    <w:sig w:usb0="E10002EF" w:usb1="6BDFFCFB" w:usb2="00800036" w:usb3="00000000" w:csb0="003E019F" w:csb1="00000000"/>
  </w:font>
  <w:font w:name="Arial Unicode MS">
    <w:panose1 w:val="020B0604020202020204"/>
    <w:charset w:val="00"/>
    <w:family w:val="auto"/>
    <w:pitch w:val="default"/>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Ubuntu">
    <w:charset w:val="00"/>
    <w:family w:val="swiss"/>
    <w:pitch w:val="variable"/>
    <w:sig w:usb0="E00002FF" w:usb1="5000205B"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A4B70" w14:textId="67FAD034" w:rsidR="007E0E62" w:rsidRPr="006C3298" w:rsidRDefault="00571458">
    <w:pPr>
      <w:widowControl w:val="0"/>
      <w:spacing w:line="240" w:lineRule="auto"/>
      <w:jc w:val="both"/>
      <w:rPr>
        <w:rFonts w:ascii="文泉驿微米黑" w:eastAsia="文泉驿微米黑" w:hAnsi="文泉驿微米黑" w:cs="仿宋"/>
        <w:sz w:val="16"/>
        <w:szCs w:val="16"/>
      </w:rPr>
    </w:pPr>
    <w:r w:rsidRPr="006C3298">
      <w:rPr>
        <w:rFonts w:ascii="文泉驿微米黑" w:eastAsia="文泉驿微米黑" w:hAnsi="文泉驿微米黑" w:cs="仿宋"/>
        <w:sz w:val="16"/>
        <w:szCs w:val="16"/>
      </w:rPr>
      <w:t xml:space="preserve">© </w:t>
    </w:r>
    <w:r w:rsidRPr="006C3298">
      <w:rPr>
        <w:rFonts w:ascii="文泉驿微米黑" w:eastAsia="文泉驿微米黑" w:hAnsi="文泉驿微米黑" w:cs="仿宋"/>
        <w:sz w:val="16"/>
        <w:szCs w:val="16"/>
      </w:rPr>
      <w:t>202</w:t>
    </w:r>
    <w:r w:rsidR="00CA5487">
      <w:rPr>
        <w:rFonts w:ascii="文泉驿微米黑" w:eastAsia="文泉驿微米黑" w:hAnsi="文泉驿微米黑" w:cs="仿宋" w:hint="eastAsia"/>
        <w:sz w:val="16"/>
        <w:szCs w:val="16"/>
      </w:rPr>
      <w:t>3</w:t>
    </w:r>
    <w:r w:rsidRPr="006C3298">
      <w:rPr>
        <w:rFonts w:ascii="文泉驿微米黑" w:eastAsia="文泉驿微米黑" w:hAnsi="文泉驿微米黑" w:cs="仿宋"/>
        <w:sz w:val="16"/>
        <w:szCs w:val="16"/>
      </w:rPr>
      <w:t xml:space="preserve"> PingCAP 公司保留所有权利。除非版权法允许，否则在未得到本公司事先给出的书面许可情况下，严禁复制、改编或翻译本文。</w:t>
    </w:r>
  </w:p>
  <w:p w14:paraId="14AD0053" w14:textId="77777777" w:rsidR="007E0E62" w:rsidRDefault="00571458">
    <w:pPr>
      <w:widowControl w:val="0"/>
      <w:spacing w:line="240" w:lineRule="auto"/>
      <w:jc w:val="center"/>
      <w:rPr>
        <w:rFonts w:ascii="仿宋" w:eastAsia="仿宋" w:hAnsi="仿宋" w:cs="仿宋"/>
        <w:sz w:val="16"/>
        <w:szCs w:val="16"/>
      </w:rPr>
    </w:pPr>
    <w:r>
      <w:rPr>
        <w:rFonts w:ascii="仿宋" w:eastAsia="仿宋" w:hAnsi="仿宋" w:cs="仿宋"/>
        <w:sz w:val="16"/>
        <w:szCs w:val="16"/>
      </w:rPr>
      <w:fldChar w:fldCharType="begin"/>
    </w:r>
    <w:r>
      <w:rPr>
        <w:rFonts w:ascii="仿宋" w:eastAsia="仿宋" w:hAnsi="仿宋" w:cs="仿宋"/>
        <w:sz w:val="16"/>
        <w:szCs w:val="16"/>
      </w:rPr>
      <w:instrText>PAGE</w:instrText>
    </w:r>
    <w:r>
      <w:rPr>
        <w:rFonts w:ascii="仿宋" w:eastAsia="仿宋" w:hAnsi="仿宋" w:cs="仿宋"/>
        <w:sz w:val="16"/>
        <w:szCs w:val="16"/>
      </w:rPr>
      <w:fldChar w:fldCharType="separate"/>
    </w:r>
    <w:r w:rsidR="006C3298">
      <w:rPr>
        <w:rFonts w:ascii="仿宋" w:eastAsia="仿宋" w:hAnsi="仿宋" w:cs="仿宋"/>
        <w:noProof/>
        <w:sz w:val="16"/>
        <w:szCs w:val="16"/>
      </w:rPr>
      <w:t>3</w:t>
    </w:r>
    <w:r>
      <w:rPr>
        <w:rFonts w:ascii="仿宋" w:eastAsia="仿宋" w:hAnsi="仿宋" w:cs="仿宋"/>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E8A9F1" w14:textId="77777777" w:rsidR="00220196" w:rsidRDefault="00220196">
      <w:pPr>
        <w:spacing w:line="240" w:lineRule="auto"/>
      </w:pPr>
      <w:r>
        <w:separator/>
      </w:r>
    </w:p>
  </w:footnote>
  <w:footnote w:type="continuationSeparator" w:id="0">
    <w:p w14:paraId="7F819AA8" w14:textId="77777777" w:rsidR="00220196" w:rsidRDefault="0022019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4A48A" w14:textId="77777777" w:rsidR="007E0E62" w:rsidRDefault="00571458">
    <w:pPr>
      <w:jc w:val="right"/>
    </w:pPr>
    <w:r>
      <w:rPr>
        <w:noProof/>
      </w:rPr>
      <w:drawing>
        <wp:inline distT="0" distB="0" distL="0" distR="0" wp14:anchorId="4A61F5E0" wp14:editId="2B22713D">
          <wp:extent cx="954251" cy="263500"/>
          <wp:effectExtent l="0" t="0" r="0" b="0"/>
          <wp:docPr id="6" name="image4.png" descr="横版标准.png"/>
          <wp:cNvGraphicFramePr/>
          <a:graphic xmlns:a="http://schemas.openxmlformats.org/drawingml/2006/main">
            <a:graphicData uri="http://schemas.openxmlformats.org/drawingml/2006/picture">
              <pic:pic xmlns:pic="http://schemas.openxmlformats.org/drawingml/2006/picture">
                <pic:nvPicPr>
                  <pic:cNvPr id="0" name="image4.png" descr="横版标准.png"/>
                  <pic:cNvPicPr preferRelativeResize="0"/>
                </pic:nvPicPr>
                <pic:blipFill>
                  <a:blip r:embed="rId1"/>
                  <a:srcRect/>
                  <a:stretch>
                    <a:fillRect/>
                  </a:stretch>
                </pic:blipFill>
                <pic:spPr>
                  <a:xfrm>
                    <a:off x="0" y="0"/>
                    <a:ext cx="954251" cy="263500"/>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D74BEF" w14:textId="77777777" w:rsidR="007E0E62" w:rsidRDefault="00571458">
    <w:pPr>
      <w:jc w:val="right"/>
    </w:pPr>
    <w:r>
      <w:rPr>
        <w:noProof/>
      </w:rPr>
      <w:drawing>
        <wp:inline distT="0" distB="0" distL="0" distR="0" wp14:anchorId="635EEE73" wp14:editId="4BEEA1F2">
          <wp:extent cx="954251" cy="263500"/>
          <wp:effectExtent l="0" t="0" r="0" b="0"/>
          <wp:docPr id="18" name="image4.png" descr="横版标准.png"/>
          <wp:cNvGraphicFramePr/>
          <a:graphic xmlns:a="http://schemas.openxmlformats.org/drawingml/2006/main">
            <a:graphicData uri="http://schemas.openxmlformats.org/drawingml/2006/picture">
              <pic:pic xmlns:pic="http://schemas.openxmlformats.org/drawingml/2006/picture">
                <pic:nvPicPr>
                  <pic:cNvPr id="0" name="image4.png" descr="横版标准.png"/>
                  <pic:cNvPicPr preferRelativeResize="0"/>
                </pic:nvPicPr>
                <pic:blipFill>
                  <a:blip r:embed="rId1"/>
                  <a:srcRect/>
                  <a:stretch>
                    <a:fillRect/>
                  </a:stretch>
                </pic:blipFill>
                <pic:spPr>
                  <a:xfrm>
                    <a:off x="0" y="0"/>
                    <a:ext cx="954251" cy="2635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C4828"/>
    <w:multiLevelType w:val="multilevel"/>
    <w:tmpl w:val="D124F822"/>
    <w:lvl w:ilvl="0">
      <w:start w:val="1"/>
      <w:numFmt w:val="bullet"/>
      <w:lvlText w:val="●"/>
      <w:lvlJc w:val="left"/>
      <w:pPr>
        <w:ind w:left="720" w:hanging="360"/>
      </w:pPr>
      <w:rPr>
        <w:rFonts w:ascii="Arial" w:eastAsia="Arial" w:hAnsi="Arial" w:cs="Arial"/>
        <w:color w:val="30323E"/>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4AD767D"/>
    <w:multiLevelType w:val="multilevel"/>
    <w:tmpl w:val="D0C6F840"/>
    <w:lvl w:ilvl="0">
      <w:start w:val="1"/>
      <w:numFmt w:val="bullet"/>
      <w:lvlText w:val="●"/>
      <w:lvlJc w:val="left"/>
      <w:pPr>
        <w:ind w:left="720" w:hanging="360"/>
      </w:pPr>
      <w:rPr>
        <w:rFonts w:ascii="Arial" w:eastAsia="Arial" w:hAnsi="Arial" w:cs="Arial"/>
        <w:color w:val="30323E"/>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6043C8A"/>
    <w:multiLevelType w:val="multilevel"/>
    <w:tmpl w:val="8E98D8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8522F63"/>
    <w:multiLevelType w:val="multilevel"/>
    <w:tmpl w:val="57E2123A"/>
    <w:lvl w:ilvl="0">
      <w:start w:val="1"/>
      <w:numFmt w:val="bullet"/>
      <w:lvlText w:val="●"/>
      <w:lvlJc w:val="left"/>
      <w:pPr>
        <w:ind w:left="720" w:hanging="360"/>
      </w:pPr>
      <w:rPr>
        <w:rFonts w:ascii="Arial" w:eastAsia="Arial" w:hAnsi="Arial" w:cs="Arial"/>
        <w:color w:val="24292E"/>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6415E8"/>
    <w:multiLevelType w:val="multilevel"/>
    <w:tmpl w:val="4D74B5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72E5A35"/>
    <w:multiLevelType w:val="multilevel"/>
    <w:tmpl w:val="E3E682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C974E97"/>
    <w:multiLevelType w:val="multilevel"/>
    <w:tmpl w:val="61264B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2EA403E8"/>
    <w:multiLevelType w:val="multilevel"/>
    <w:tmpl w:val="18F011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F017729"/>
    <w:multiLevelType w:val="multilevel"/>
    <w:tmpl w:val="4206702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3006130D"/>
    <w:multiLevelType w:val="multilevel"/>
    <w:tmpl w:val="2F286E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37810484"/>
    <w:multiLevelType w:val="multilevel"/>
    <w:tmpl w:val="B72E11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3CE3058C"/>
    <w:multiLevelType w:val="multilevel"/>
    <w:tmpl w:val="1A3601D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4AFF51E0"/>
    <w:multiLevelType w:val="multilevel"/>
    <w:tmpl w:val="A3940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5BE368D7"/>
    <w:multiLevelType w:val="multilevel"/>
    <w:tmpl w:val="8160C9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65466FFC"/>
    <w:multiLevelType w:val="multilevel"/>
    <w:tmpl w:val="D6B460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746E710C"/>
    <w:multiLevelType w:val="multilevel"/>
    <w:tmpl w:val="3F680C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74DC6BFF"/>
    <w:multiLevelType w:val="multilevel"/>
    <w:tmpl w:val="EE12C16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6335EB3"/>
    <w:multiLevelType w:val="multilevel"/>
    <w:tmpl w:val="847AB3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71697403">
    <w:abstractNumId w:val="0"/>
  </w:num>
  <w:num w:numId="2" w16cid:durableId="468211632">
    <w:abstractNumId w:val="13"/>
  </w:num>
  <w:num w:numId="3" w16cid:durableId="1118061901">
    <w:abstractNumId w:val="16"/>
  </w:num>
  <w:num w:numId="4" w16cid:durableId="413280158">
    <w:abstractNumId w:val="14"/>
  </w:num>
  <w:num w:numId="5" w16cid:durableId="1163738862">
    <w:abstractNumId w:val="10"/>
  </w:num>
  <w:num w:numId="6" w16cid:durableId="688063305">
    <w:abstractNumId w:val="12"/>
  </w:num>
  <w:num w:numId="7" w16cid:durableId="1454396501">
    <w:abstractNumId w:val="17"/>
  </w:num>
  <w:num w:numId="8" w16cid:durableId="1327855181">
    <w:abstractNumId w:val="5"/>
  </w:num>
  <w:num w:numId="9" w16cid:durableId="1662586875">
    <w:abstractNumId w:val="6"/>
  </w:num>
  <w:num w:numId="10" w16cid:durableId="755592400">
    <w:abstractNumId w:val="4"/>
  </w:num>
  <w:num w:numId="11" w16cid:durableId="1857771943">
    <w:abstractNumId w:val="9"/>
  </w:num>
  <w:num w:numId="12" w16cid:durableId="940378700">
    <w:abstractNumId w:val="2"/>
  </w:num>
  <w:num w:numId="13" w16cid:durableId="1357929347">
    <w:abstractNumId w:val="8"/>
  </w:num>
  <w:num w:numId="14" w16cid:durableId="2102673888">
    <w:abstractNumId w:val="15"/>
  </w:num>
  <w:num w:numId="15" w16cid:durableId="1145513776">
    <w:abstractNumId w:val="1"/>
  </w:num>
  <w:num w:numId="16" w16cid:durableId="1681195542">
    <w:abstractNumId w:val="7"/>
  </w:num>
  <w:num w:numId="17" w16cid:durableId="1467238162">
    <w:abstractNumId w:val="3"/>
  </w:num>
  <w:num w:numId="18" w16cid:durableId="13413918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E62"/>
    <w:rsid w:val="00032727"/>
    <w:rsid w:val="00220196"/>
    <w:rsid w:val="002A7ACE"/>
    <w:rsid w:val="002E0232"/>
    <w:rsid w:val="00346E36"/>
    <w:rsid w:val="00513DEB"/>
    <w:rsid w:val="00571458"/>
    <w:rsid w:val="006A3EED"/>
    <w:rsid w:val="006C3298"/>
    <w:rsid w:val="00774455"/>
    <w:rsid w:val="007867FC"/>
    <w:rsid w:val="007C4B70"/>
    <w:rsid w:val="007E0E62"/>
    <w:rsid w:val="00B534F3"/>
    <w:rsid w:val="00CA5487"/>
    <w:rsid w:val="00D85D39"/>
    <w:rsid w:val="00F349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D1559"/>
  <w15:docId w15:val="{87C45A05-746C-4F6A-95BD-9D61A945A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Arial"/>
        <w:sz w:val="22"/>
        <w:szCs w:val="22"/>
        <w:lang w:val="zh-CN" w:eastAsia="zh-CN"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hd w:val="clear" w:color="auto" w:fill="FFFFFF"/>
      <w:spacing w:before="400" w:after="240"/>
      <w:outlineLvl w:val="0"/>
    </w:pPr>
    <w:rPr>
      <w:rFonts w:ascii="Helvetica Neue" w:eastAsia="Helvetica Neue" w:hAnsi="Helvetica Neue" w:cs="Helvetica Neue"/>
      <w:sz w:val="40"/>
      <w:szCs w:val="40"/>
    </w:rPr>
  </w:style>
  <w:style w:type="paragraph" w:styleId="2">
    <w:name w:val="heading 2"/>
    <w:basedOn w:val="a"/>
    <w:next w:val="a"/>
    <w:uiPriority w:val="9"/>
    <w:unhideWhenUsed/>
    <w:qFormat/>
    <w:pPr>
      <w:keepNext/>
      <w:keepLines/>
      <w:spacing w:line="360" w:lineRule="auto"/>
      <w:outlineLvl w:val="1"/>
    </w:pPr>
    <w:rPr>
      <w:rFonts w:ascii="Helvetica Neue" w:eastAsia="Helvetica Neue" w:hAnsi="Helvetica Neue" w:cs="Helvetica Neue"/>
      <w:b/>
      <w:sz w:val="32"/>
      <w:szCs w:val="32"/>
    </w:rPr>
  </w:style>
  <w:style w:type="paragraph" w:styleId="3">
    <w:name w:val="heading 3"/>
    <w:basedOn w:val="a"/>
    <w:next w:val="a"/>
    <w:uiPriority w:val="9"/>
    <w:unhideWhenUsed/>
    <w:qFormat/>
    <w:pPr>
      <w:keepNext/>
      <w:keepLines/>
      <w:pBdr>
        <w:bottom w:val="none" w:sz="0" w:space="5" w:color="auto"/>
      </w:pBdr>
      <w:shd w:val="clear" w:color="auto" w:fill="FFFFFF"/>
      <w:spacing w:before="320" w:after="240" w:line="240" w:lineRule="auto"/>
      <w:ind w:left="-300"/>
      <w:outlineLvl w:val="2"/>
    </w:pPr>
    <w:rPr>
      <w:rFonts w:ascii="Helvetica Neue" w:eastAsia="Helvetica Neue" w:hAnsi="Helvetica Neue" w:cs="Helvetica Neue"/>
      <w:b/>
      <w:color w:val="434343"/>
      <w:sz w:val="28"/>
      <w:szCs w:val="28"/>
    </w:rPr>
  </w:style>
  <w:style w:type="paragraph" w:styleId="4">
    <w:name w:val="heading 4"/>
    <w:basedOn w:val="a"/>
    <w:next w:val="a"/>
    <w:uiPriority w:val="9"/>
    <w:semiHidden/>
    <w:unhideWhenUsed/>
    <w:qFormat/>
    <w:pPr>
      <w:keepNext/>
      <w:keepLines/>
      <w:spacing w:before="360" w:after="80"/>
      <w:outlineLvl w:val="3"/>
    </w:pPr>
    <w:rPr>
      <w:rFonts w:ascii="Helvetica Neue" w:eastAsia="Helvetica Neue" w:hAnsi="Helvetica Neue" w:cs="Helvetica Neue"/>
      <w:b/>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paragraph" w:styleId="a5">
    <w:name w:val="annotation text"/>
    <w:basedOn w:val="a"/>
    <w:link w:val="a6"/>
    <w:uiPriority w:val="99"/>
    <w:semiHidden/>
    <w:unhideWhenUsed/>
  </w:style>
  <w:style w:type="character" w:customStyle="1" w:styleId="a6">
    <w:name w:val="批注文字 字符"/>
    <w:basedOn w:val="a0"/>
    <w:link w:val="a5"/>
    <w:uiPriority w:val="99"/>
    <w:semiHidden/>
  </w:style>
  <w:style w:type="character" w:styleId="a7">
    <w:name w:val="annotation reference"/>
    <w:basedOn w:val="a0"/>
    <w:uiPriority w:val="99"/>
    <w:semiHidden/>
    <w:unhideWhenUsed/>
    <w:rPr>
      <w:sz w:val="21"/>
      <w:szCs w:val="21"/>
    </w:rPr>
  </w:style>
  <w:style w:type="paragraph" w:styleId="a8">
    <w:name w:val="header"/>
    <w:basedOn w:val="a"/>
    <w:link w:val="a9"/>
    <w:uiPriority w:val="99"/>
    <w:unhideWhenUsed/>
    <w:rsid w:val="006C3298"/>
    <w:pPr>
      <w:pBdr>
        <w:bottom w:val="single" w:sz="6" w:space="1" w:color="auto"/>
      </w:pBdr>
      <w:tabs>
        <w:tab w:val="center" w:pos="4153"/>
        <w:tab w:val="right" w:pos="8306"/>
      </w:tabs>
      <w:snapToGrid w:val="0"/>
      <w:spacing w:line="240" w:lineRule="auto"/>
      <w:jc w:val="center"/>
    </w:pPr>
    <w:rPr>
      <w:sz w:val="18"/>
      <w:szCs w:val="18"/>
    </w:rPr>
  </w:style>
  <w:style w:type="character" w:customStyle="1" w:styleId="a9">
    <w:name w:val="页眉 字符"/>
    <w:basedOn w:val="a0"/>
    <w:link w:val="a8"/>
    <w:uiPriority w:val="99"/>
    <w:rsid w:val="006C3298"/>
    <w:rPr>
      <w:sz w:val="18"/>
      <w:szCs w:val="18"/>
    </w:rPr>
  </w:style>
  <w:style w:type="paragraph" w:styleId="aa">
    <w:name w:val="footer"/>
    <w:basedOn w:val="a"/>
    <w:link w:val="ab"/>
    <w:uiPriority w:val="99"/>
    <w:unhideWhenUsed/>
    <w:rsid w:val="006C3298"/>
    <w:pPr>
      <w:tabs>
        <w:tab w:val="center" w:pos="4153"/>
        <w:tab w:val="right" w:pos="8306"/>
      </w:tabs>
      <w:snapToGrid w:val="0"/>
      <w:spacing w:line="240" w:lineRule="auto"/>
    </w:pPr>
    <w:rPr>
      <w:sz w:val="18"/>
      <w:szCs w:val="18"/>
    </w:rPr>
  </w:style>
  <w:style w:type="character" w:customStyle="1" w:styleId="ab">
    <w:name w:val="页脚 字符"/>
    <w:basedOn w:val="a0"/>
    <w:link w:val="aa"/>
    <w:uiPriority w:val="99"/>
    <w:rsid w:val="006C3298"/>
    <w:rPr>
      <w:sz w:val="18"/>
      <w:szCs w:val="18"/>
    </w:rPr>
  </w:style>
  <w:style w:type="paragraph" w:styleId="TOC1">
    <w:name w:val="toc 1"/>
    <w:basedOn w:val="a"/>
    <w:next w:val="a"/>
    <w:autoRedefine/>
    <w:uiPriority w:val="39"/>
    <w:unhideWhenUsed/>
    <w:rsid w:val="006C3298"/>
  </w:style>
  <w:style w:type="paragraph" w:styleId="TOC2">
    <w:name w:val="toc 2"/>
    <w:basedOn w:val="a"/>
    <w:next w:val="a"/>
    <w:autoRedefine/>
    <w:uiPriority w:val="39"/>
    <w:unhideWhenUsed/>
    <w:rsid w:val="006C3298"/>
    <w:pPr>
      <w:ind w:leftChars="200" w:left="420"/>
    </w:pPr>
  </w:style>
  <w:style w:type="paragraph" w:styleId="TOC3">
    <w:name w:val="toc 3"/>
    <w:basedOn w:val="a"/>
    <w:next w:val="a"/>
    <w:autoRedefine/>
    <w:uiPriority w:val="39"/>
    <w:unhideWhenUsed/>
    <w:rsid w:val="006C3298"/>
    <w:pPr>
      <w:ind w:leftChars="400" w:left="840"/>
    </w:pPr>
  </w:style>
  <w:style w:type="character" w:styleId="ac">
    <w:name w:val="Hyperlink"/>
    <w:basedOn w:val="a0"/>
    <w:uiPriority w:val="99"/>
    <w:unhideWhenUsed/>
    <w:rsid w:val="006C329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3.png"/><Relationship Id="rId7" Type="http://schemas.openxmlformats.org/officeDocument/2006/relationships/image" Target="media/image1.jpeg"/><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header" Target="header2.xml"/><Relationship Id="rId19" Type="http://schemas.openxmlformats.org/officeDocument/2006/relationships/image" Target="media/image11.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24</Pages>
  <Words>1793</Words>
  <Characters>10222</Characters>
  <Application>Microsoft Office Word</Application>
  <DocSecurity>0</DocSecurity>
  <Lines>85</Lines>
  <Paragraphs>23</Paragraphs>
  <ScaleCrop>false</ScaleCrop>
  <Company/>
  <LinksUpToDate>false</LinksUpToDate>
  <CharactersWithSpaces>11992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 F</cp:lastModifiedBy>
  <cp:revision>12</cp:revision>
  <dcterms:created xsi:type="dcterms:W3CDTF">2022-03-16T06:14:00Z</dcterms:created>
  <dcterms:modified xsi:type="dcterms:W3CDTF">2023-05-28T08:00:00Z</dcterms:modified>
</cp:coreProperties>
</file>